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4F1C" w14:textId="4C7F1B04" w:rsidR="001874E5" w:rsidRPr="00673BA0" w:rsidRDefault="00673BA0" w:rsidP="0067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9E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33C351B" wp14:editId="77CE1FAD">
            <wp:extent cx="456300" cy="60840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D871" w14:textId="39A22C01" w:rsidR="008D5233" w:rsidRPr="00CD79E0" w:rsidRDefault="008D5233" w:rsidP="00673BA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0294371" w14:textId="77777777" w:rsidR="008D5233" w:rsidRPr="00CD79E0" w:rsidRDefault="008D5233" w:rsidP="00673BA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>НОВОГРАД-ВОЛИНСЬКА МІСЬКА РАДА</w:t>
      </w:r>
    </w:p>
    <w:p w14:paraId="1A0CF81B" w14:textId="77777777" w:rsidR="008D5233" w:rsidRPr="00CD79E0" w:rsidRDefault="008D5233" w:rsidP="00673BA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>ЖИТОМИРСЬКОЇ ОБЛАСТІ</w:t>
      </w:r>
    </w:p>
    <w:p w14:paraId="7E96E42B" w14:textId="77777777" w:rsidR="008D5233" w:rsidRPr="00CD79E0" w:rsidRDefault="008D5233" w:rsidP="0067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79E0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7DBC46F2" w14:textId="77777777" w:rsidR="008D5233" w:rsidRPr="00CD79E0" w:rsidRDefault="008D5233" w:rsidP="00673BA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AFA9F89" w14:textId="033E3421" w:rsidR="008D5233" w:rsidRPr="00CD79E0" w:rsidRDefault="001874E5" w:rsidP="00673BA0">
      <w:pPr>
        <w:spacing w:after="0" w:line="240" w:lineRule="auto"/>
        <w:outlineLvl w:val="1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>шістнадцята</w:t>
      </w:r>
      <w:r w:rsidR="008D5233" w:rsidRPr="00CD79E0">
        <w:rPr>
          <w:rFonts w:ascii="Times New Roman" w:hAnsi="Times New Roman" w:cs="Times New Roman"/>
          <w:sz w:val="28"/>
          <w:lang w:val="uk-UA"/>
        </w:rPr>
        <w:t xml:space="preserve"> сесія                                                              </w:t>
      </w:r>
      <w:r w:rsidRPr="00CD79E0">
        <w:rPr>
          <w:rFonts w:ascii="Times New Roman" w:hAnsi="Times New Roman" w:cs="Times New Roman"/>
          <w:sz w:val="28"/>
          <w:lang w:val="uk-UA"/>
        </w:rPr>
        <w:t xml:space="preserve">  </w:t>
      </w:r>
      <w:r w:rsidR="008D5233" w:rsidRPr="00CD79E0">
        <w:rPr>
          <w:rFonts w:ascii="Times New Roman" w:hAnsi="Times New Roman" w:cs="Times New Roman"/>
          <w:sz w:val="28"/>
          <w:lang w:val="uk-UA"/>
        </w:rPr>
        <w:t xml:space="preserve">      восьмого скликання</w:t>
      </w:r>
    </w:p>
    <w:p w14:paraId="3BC71AB8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6058D76A" w14:textId="131760A9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 xml:space="preserve">від  </w:t>
      </w:r>
      <w:r w:rsidR="001874E5" w:rsidRPr="00CD79E0">
        <w:rPr>
          <w:rFonts w:ascii="Times New Roman" w:hAnsi="Times New Roman" w:cs="Times New Roman"/>
          <w:sz w:val="28"/>
          <w:lang w:val="uk-UA"/>
        </w:rPr>
        <w:t xml:space="preserve"> </w:t>
      </w:r>
      <w:r w:rsidRPr="00CD79E0">
        <w:rPr>
          <w:rFonts w:ascii="Times New Roman" w:hAnsi="Times New Roman" w:cs="Times New Roman"/>
          <w:sz w:val="28"/>
          <w:lang w:val="uk-UA"/>
        </w:rPr>
        <w:t xml:space="preserve">  </w:t>
      </w:r>
      <w:r w:rsidR="001874E5" w:rsidRPr="00CD79E0">
        <w:rPr>
          <w:rFonts w:ascii="Times New Roman" w:hAnsi="Times New Roman" w:cs="Times New Roman"/>
          <w:sz w:val="28"/>
          <w:lang w:val="uk-UA"/>
        </w:rPr>
        <w:t xml:space="preserve">                  </w:t>
      </w:r>
      <w:r w:rsidRPr="00CD79E0">
        <w:rPr>
          <w:rFonts w:ascii="Times New Roman" w:hAnsi="Times New Roman" w:cs="Times New Roman"/>
          <w:sz w:val="28"/>
          <w:lang w:val="uk-UA"/>
        </w:rPr>
        <w:t xml:space="preserve"> № </w:t>
      </w:r>
      <w:r w:rsidR="001874E5" w:rsidRPr="00CD79E0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B4CDDCA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14:paraId="5EE577E1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05"/>
        <w:gridCol w:w="4655"/>
      </w:tblGrid>
      <w:tr w:rsidR="008D5233" w:rsidRPr="00DE2BAB" w14:paraId="2E5D4718" w14:textId="77777777" w:rsidTr="00047AB1">
        <w:tc>
          <w:tcPr>
            <w:tcW w:w="4705" w:type="dxa"/>
            <w:shd w:val="clear" w:color="auto" w:fill="auto"/>
          </w:tcPr>
          <w:p w14:paraId="2434E95A" w14:textId="626E65B0" w:rsidR="008D5233" w:rsidRPr="00CD79E0" w:rsidRDefault="008D5233" w:rsidP="00673B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047AB1"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рограми </w:t>
            </w:r>
            <w:r w:rsidR="00B51907"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профілактики рецидивної злочинності та правопорушень на </w:t>
            </w:r>
            <w:r w:rsidR="00A305AB"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території Новоград-Волинської міської територіальної громади</w:t>
            </w:r>
            <w:r w:rsidR="00B51907"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20</w:t>
            </w:r>
            <w:r w:rsidR="00A305AB"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  <w:r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202</w:t>
            </w:r>
            <w:r w:rsidR="00A305AB"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CD79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4655" w:type="dxa"/>
            <w:shd w:val="clear" w:color="auto" w:fill="auto"/>
          </w:tcPr>
          <w:p w14:paraId="1CE8E9C7" w14:textId="77777777" w:rsidR="008D5233" w:rsidRPr="00CD79E0" w:rsidRDefault="008D5233" w:rsidP="00673B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</w:tbl>
    <w:p w14:paraId="4B7D285A" w14:textId="77777777" w:rsidR="008D5233" w:rsidRPr="00CD79E0" w:rsidRDefault="008D5233" w:rsidP="00673B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lang w:val="uk-UA"/>
        </w:rPr>
      </w:pPr>
    </w:p>
    <w:p w14:paraId="1B81ED39" w14:textId="7598D899" w:rsidR="008D5233" w:rsidRPr="00CD79E0" w:rsidRDefault="008D5233" w:rsidP="00673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>Керуючись пунктом 22 частини першої статті 26</w:t>
      </w:r>
      <w:r w:rsidRPr="00CD79E0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Pr="00CD79E0"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Закону України «Про місцеве самоврядування в Україні»,</w:t>
      </w:r>
      <w:r w:rsidRPr="00CD79E0">
        <w:rPr>
          <w:rFonts w:ascii="Times New Roman" w:hAnsi="Times New Roman" w:cs="Times New Roman"/>
          <w:color w:val="000000"/>
          <w:sz w:val="28"/>
          <w:lang w:val="uk-UA"/>
        </w:rPr>
        <w:t xml:space="preserve"> Законом України «Про </w:t>
      </w:r>
      <w:r w:rsidR="00136E9D" w:rsidRPr="00CD79E0">
        <w:rPr>
          <w:rFonts w:ascii="Times New Roman" w:hAnsi="Times New Roman" w:cs="Times New Roman"/>
          <w:color w:val="000000"/>
          <w:sz w:val="28"/>
          <w:lang w:val="uk-UA"/>
        </w:rPr>
        <w:t>пробацію</w:t>
      </w:r>
      <w:r w:rsidRPr="00CD79E0">
        <w:rPr>
          <w:rFonts w:ascii="Times New Roman" w:hAnsi="Times New Roman" w:cs="Times New Roman"/>
          <w:color w:val="000000"/>
          <w:sz w:val="28"/>
          <w:lang w:val="uk-UA"/>
        </w:rPr>
        <w:t xml:space="preserve">», з метою </w:t>
      </w:r>
      <w:r w:rsidR="00136E9D" w:rsidRPr="00CD79E0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BC2AFC" w:rsidRPr="00CD79E0">
        <w:rPr>
          <w:rFonts w:ascii="Times New Roman" w:hAnsi="Times New Roman" w:cs="Times New Roman"/>
          <w:color w:val="000000"/>
          <w:sz w:val="28"/>
          <w:lang w:val="uk-UA"/>
        </w:rPr>
        <w:t>зменшення</w:t>
      </w:r>
      <w:r w:rsidR="00136E9D" w:rsidRPr="00CD79E0">
        <w:rPr>
          <w:rFonts w:ascii="Times New Roman" w:hAnsi="Times New Roman" w:cs="Times New Roman"/>
          <w:color w:val="000000"/>
          <w:sz w:val="28"/>
          <w:lang w:val="uk-UA"/>
        </w:rPr>
        <w:t xml:space="preserve"> кількості правопорушень</w:t>
      </w:r>
      <w:r w:rsidR="00BC2AFC" w:rsidRPr="00CD79E0">
        <w:rPr>
          <w:rFonts w:ascii="Times New Roman" w:hAnsi="Times New Roman" w:cs="Times New Roman"/>
          <w:color w:val="000000"/>
          <w:sz w:val="28"/>
          <w:lang w:val="uk-UA"/>
        </w:rPr>
        <w:t xml:space="preserve"> на території </w:t>
      </w:r>
      <w:r w:rsidR="00BC2AF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Новоград-Волинської міської територіальної громади</w:t>
      </w:r>
      <w:r w:rsidRPr="00CD79E0">
        <w:rPr>
          <w:rFonts w:ascii="Times New Roman" w:hAnsi="Times New Roman" w:cs="Times New Roman"/>
          <w:sz w:val="28"/>
          <w:lang w:val="uk-UA"/>
        </w:rPr>
        <w:t>,</w:t>
      </w:r>
      <w:r w:rsidR="00BC2AFC" w:rsidRPr="00CD79E0">
        <w:rPr>
          <w:rFonts w:ascii="Times New Roman" w:hAnsi="Times New Roman" w:cs="Times New Roman"/>
          <w:sz w:val="28"/>
          <w:lang w:val="uk-UA"/>
        </w:rPr>
        <w:t xml:space="preserve"> налагодження дієвої співпраці органів пробації</w:t>
      </w:r>
      <w:r w:rsidR="00CD79E0" w:rsidRPr="00CD79E0">
        <w:rPr>
          <w:rFonts w:ascii="Times New Roman" w:hAnsi="Times New Roman" w:cs="Times New Roman"/>
          <w:sz w:val="28"/>
          <w:lang w:val="uk-UA"/>
        </w:rPr>
        <w:t xml:space="preserve"> з виконавчими органами міської ради,</w:t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BAB">
        <w:rPr>
          <w:rFonts w:ascii="Times New Roman" w:hAnsi="Times New Roman" w:cs="Times New Roman"/>
          <w:sz w:val="28"/>
          <w:szCs w:val="28"/>
          <w:lang w:val="uk-UA"/>
        </w:rPr>
        <w:t>враховуючи звернення начальника Новоград-Волинського</w:t>
      </w:r>
      <w:r w:rsidR="00DE2BAB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DE2BAB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DE2BAB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DE2B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2BAB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BAB">
        <w:rPr>
          <w:rFonts w:ascii="Times New Roman" w:hAnsi="Times New Roman" w:cs="Times New Roman"/>
          <w:sz w:val="28"/>
          <w:szCs w:val="28"/>
          <w:lang w:val="uk-UA"/>
        </w:rPr>
        <w:t>філії Державної установи «Центр пробації» у</w:t>
      </w:r>
      <w:r w:rsidR="00DE2BAB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Житомирській області</w:t>
      </w:r>
      <w:r w:rsidR="00DE2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2BAB" w:rsidRPr="00CD79E0">
        <w:rPr>
          <w:rFonts w:ascii="Times New Roman" w:hAnsi="Times New Roman" w:cs="Times New Roman"/>
          <w:sz w:val="28"/>
          <w:lang w:val="uk-UA"/>
        </w:rPr>
        <w:t xml:space="preserve"> </w:t>
      </w:r>
      <w:r w:rsidRPr="00CD79E0">
        <w:rPr>
          <w:rFonts w:ascii="Times New Roman" w:hAnsi="Times New Roman" w:cs="Times New Roman"/>
          <w:sz w:val="28"/>
          <w:lang w:val="uk-UA"/>
        </w:rPr>
        <w:t>міська рада</w:t>
      </w:r>
    </w:p>
    <w:p w14:paraId="62766617" w14:textId="77777777" w:rsidR="008D5233" w:rsidRPr="00CD79E0" w:rsidRDefault="008D5233" w:rsidP="00673BA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32EA0405" w14:textId="2720FCBF" w:rsidR="008D5233" w:rsidRPr="00CD79E0" w:rsidRDefault="008D5233" w:rsidP="00673BA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>ВИРІШИЛА:</w:t>
      </w:r>
    </w:p>
    <w:p w14:paraId="56A8FFDE" w14:textId="42FAE35B" w:rsidR="008D5233" w:rsidRPr="00CD79E0" w:rsidRDefault="003402C8" w:rsidP="00673B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</w:t>
      </w:r>
      <w:r w:rsidR="008D5233" w:rsidRPr="00CD79E0">
        <w:rPr>
          <w:rFonts w:ascii="Times New Roman" w:hAnsi="Times New Roman" w:cs="Times New Roman"/>
          <w:sz w:val="28"/>
          <w:lang w:val="uk-UA"/>
        </w:rPr>
        <w:t xml:space="preserve">. Затвердити </w:t>
      </w:r>
      <w:r w:rsidR="00CD79E0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Програму профілактики рецидивної злочинності та правопорушень на території Новоград-Волинської міської територіальної громади на 2022 – 2024 роки</w:t>
      </w:r>
      <w:r w:rsidR="008D5233" w:rsidRPr="00CD79E0">
        <w:rPr>
          <w:rFonts w:ascii="Times New Roman" w:hAnsi="Times New Roman" w:cs="Times New Roman"/>
          <w:sz w:val="28"/>
          <w:lang w:val="uk-UA"/>
        </w:rPr>
        <w:t xml:space="preserve">  (далі - Програма) (додається).</w:t>
      </w:r>
    </w:p>
    <w:p w14:paraId="2C6CCF80" w14:textId="0E372256" w:rsidR="008D5233" w:rsidRPr="00CD79E0" w:rsidRDefault="003402C8" w:rsidP="00673B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8D5233" w:rsidRPr="00CD79E0">
        <w:rPr>
          <w:rFonts w:ascii="Times New Roman" w:hAnsi="Times New Roman" w:cs="Times New Roman"/>
          <w:color w:val="000000"/>
          <w:sz w:val="28"/>
          <w:szCs w:val="28"/>
          <w:lang w:val="uk-UA"/>
        </w:rPr>
        <w:t>. </w:t>
      </w:r>
      <w:r w:rsidR="008D5233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міської ради здійснювати фінансування субвенції з бюджету Новоград-Волинської міської територіальної громади державному бюджету на заходи, пов’язані з реалізацією Програми.  </w:t>
      </w:r>
    </w:p>
    <w:p w14:paraId="656131E5" w14:textId="0119B36A" w:rsidR="008D5233" w:rsidRPr="00CD79E0" w:rsidRDefault="009F68BA" w:rsidP="00673B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D5233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. Визначити, що безпосередній контроль за ходом виконання заходів і завдань Програми здійснює Новоград-Волинський районний 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Державної установи «Центр пробації» у</w:t>
      </w:r>
      <w:r w:rsidR="008D5233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94E2C1" w14:textId="70575327" w:rsidR="008D5233" w:rsidRPr="00CD79E0" w:rsidRDefault="000F5983" w:rsidP="00673B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t xml:space="preserve"> 4</w:t>
      </w:r>
      <w:r w:rsidR="008D5233" w:rsidRPr="00CD79E0">
        <w:rPr>
          <w:rFonts w:ascii="Times New Roman" w:hAnsi="Times New Roman" w:cs="Times New Roman"/>
          <w:sz w:val="28"/>
          <w:lang w:val="uk-UA"/>
        </w:rPr>
        <w:t xml:space="preserve">. Контроль за виконанням рішення покласти на постійну комісію міської ради з питань депутатської етики, дотримання законності та охорони прав і свобод громадян (Овдіюк В.І.), постійну комісію міської ради з питань </w:t>
      </w:r>
      <w:r w:rsidR="008D5233" w:rsidRPr="00CD79E0">
        <w:rPr>
          <w:rFonts w:ascii="Times New Roman" w:hAnsi="Times New Roman" w:cs="Times New Roman"/>
          <w:sz w:val="28"/>
          <w:szCs w:val="24"/>
          <w:lang w:val="uk-UA"/>
        </w:rPr>
        <w:t>бюджету територіальної громади, комунальної власності та економічного розвитку</w:t>
      </w:r>
      <w:r w:rsidR="008D5233" w:rsidRPr="00CD79E0">
        <w:rPr>
          <w:rFonts w:ascii="Times New Roman" w:hAnsi="Times New Roman" w:cs="Times New Roman"/>
          <w:sz w:val="28"/>
          <w:lang w:val="uk-UA"/>
        </w:rPr>
        <w:t xml:space="preserve"> (Сухих</w:t>
      </w:r>
      <w:r w:rsidR="00212777">
        <w:rPr>
          <w:rFonts w:ascii="Times New Roman" w:hAnsi="Times New Roman" w:cs="Times New Roman"/>
          <w:sz w:val="28"/>
          <w:lang w:val="uk-UA"/>
        </w:rPr>
        <w:t> </w:t>
      </w:r>
      <w:r w:rsidR="008D5233" w:rsidRPr="00CD79E0">
        <w:rPr>
          <w:rFonts w:ascii="Times New Roman" w:hAnsi="Times New Roman" w:cs="Times New Roman"/>
          <w:sz w:val="28"/>
          <w:lang w:val="uk-UA"/>
        </w:rPr>
        <w:t>А.Ю.), секретаря міської ради Гвозденко О.В.</w:t>
      </w:r>
    </w:p>
    <w:p w14:paraId="7ECBC13A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9C0DA55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6C8639C" w14:textId="17F7D638" w:rsidR="008D5233" w:rsidRPr="00CD79E0" w:rsidRDefault="000F5983" w:rsidP="00673B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="00AF49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Микола БОРОВЕЦЬ</w:t>
      </w:r>
    </w:p>
    <w:p w14:paraId="30A25241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9C5B273" w14:textId="77777777" w:rsidR="00890080" w:rsidRDefault="00890080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061C20E" w14:textId="77777777" w:rsidR="00890080" w:rsidRDefault="00890080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747E0F" w14:textId="0AB0B777" w:rsidR="00890080" w:rsidRDefault="00890080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7B0415" w14:textId="625867C7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4922870" w14:textId="77777777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6F9360A" w14:textId="77777777" w:rsidR="00890080" w:rsidRDefault="00890080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A4BF2E" w14:textId="77777777" w:rsidR="00890080" w:rsidRDefault="00890080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D6E2DA" w14:textId="119AEDE2" w:rsidR="000F5983" w:rsidRDefault="0098296F" w:rsidP="00673BA0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</w:p>
    <w:p w14:paraId="52C9E1BD" w14:textId="3AC9B909" w:rsidR="0098296F" w:rsidRPr="00CD79E0" w:rsidRDefault="0098296F" w:rsidP="00673BA0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</w:t>
      </w:r>
      <w:r w:rsidR="00191B4E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</w:p>
    <w:p w14:paraId="25E5E801" w14:textId="171613B7" w:rsidR="0098296F" w:rsidRPr="00CD79E0" w:rsidRDefault="00191B4E" w:rsidP="00673BA0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8296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</w:p>
    <w:p w14:paraId="6B4D7B92" w14:textId="77777777" w:rsidR="00191B4E" w:rsidRPr="00CD79E0" w:rsidRDefault="00191B4E" w:rsidP="00673BA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DBC1C8F" w14:textId="4CEE4157" w:rsidR="0098296F" w:rsidRPr="00CD79E0" w:rsidRDefault="0098296F" w:rsidP="00673BA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79E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Програма</w:t>
      </w:r>
    </w:p>
    <w:p w14:paraId="1F894F87" w14:textId="3BED0EFC" w:rsidR="00FF0019" w:rsidRPr="00CD79E0" w:rsidRDefault="0098296F" w:rsidP="00673BA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профілактики рецидивної злочинності та правопорушень </w:t>
      </w:r>
      <w:r w:rsidR="00C06F19" w:rsidRPr="00CD79E0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64A0870B" w14:textId="06B223BC" w:rsidR="0098296F" w:rsidRPr="00CD79E0" w:rsidRDefault="0006770A" w:rsidP="00673BA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>Новоград-Волинськ</w:t>
      </w:r>
      <w:r w:rsidR="00C06F19" w:rsidRPr="00CD79E0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</w:t>
      </w:r>
      <w:r w:rsidR="00C06F19" w:rsidRPr="00CD79E0">
        <w:rPr>
          <w:rFonts w:ascii="Times New Roman" w:hAnsi="Times New Roman"/>
          <w:b/>
          <w:bCs/>
          <w:sz w:val="28"/>
          <w:szCs w:val="28"/>
          <w:lang w:val="uk-UA"/>
        </w:rPr>
        <w:t>ої територіальної</w:t>
      </w: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 xml:space="preserve"> громад</w:t>
      </w:r>
      <w:r w:rsidR="00C06F19" w:rsidRPr="00CD79E0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14:paraId="7D69AAC0" w14:textId="08761FA7" w:rsidR="0098296F" w:rsidRPr="00CD79E0" w:rsidRDefault="0098296F" w:rsidP="00673BA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 w:rsidR="00F32B7B" w:rsidRPr="00CD79E0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52FF8" w:rsidRPr="00CD79E0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>-20</w:t>
      </w:r>
      <w:r w:rsidR="00F32B7B" w:rsidRPr="00CD79E0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52FF8" w:rsidRPr="00CD79E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</w:p>
    <w:p w14:paraId="59C88E52" w14:textId="77777777" w:rsidR="0098296F" w:rsidRPr="00CD79E0" w:rsidRDefault="0098296F" w:rsidP="00673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E08C251" w14:textId="77777777" w:rsidR="0098296F" w:rsidRPr="00CD79E0" w:rsidRDefault="0098296F" w:rsidP="00673B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79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ПАСПОРТ ПРОГРАМИ</w:t>
      </w:r>
    </w:p>
    <w:p w14:paraId="31139829" w14:textId="77777777" w:rsidR="0098296F" w:rsidRPr="00CD79E0" w:rsidRDefault="0098296F" w:rsidP="00673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7"/>
        <w:gridCol w:w="3970"/>
        <w:gridCol w:w="5132"/>
      </w:tblGrid>
      <w:tr w:rsidR="0098296F" w:rsidRPr="00DE2BAB" w14:paraId="551EFC9B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C124C0" w14:textId="1183E7E2" w:rsidR="0098296F" w:rsidRPr="00CD79E0" w:rsidRDefault="000273C4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9E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BBB02" w14:textId="77777777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320CBA" w14:textId="4E8B50B9" w:rsidR="0098296F" w:rsidRPr="00CD79E0" w:rsidRDefault="00FF0019" w:rsidP="00673BA0">
            <w:pPr>
              <w:spacing w:after="0" w:line="240" w:lineRule="auto"/>
              <w:jc w:val="both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районний відділ філії Державної установи «Центр пробації» </w:t>
            </w:r>
            <w:r w:rsidR="00F87E1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Житомирській області</w:t>
            </w:r>
          </w:p>
        </w:tc>
      </w:tr>
      <w:tr w:rsidR="0098296F" w:rsidRPr="00DE2BAB" w14:paraId="15113CF5" w14:textId="77777777" w:rsidTr="000273C4">
        <w:trPr>
          <w:trHeight w:val="885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C42A8" w14:textId="4C23CC78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273C4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5FCC0" w14:textId="77777777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Розробник Програми 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01EFA" w14:textId="33D9377D" w:rsidR="0098296F" w:rsidRPr="00CD79E0" w:rsidRDefault="00FF0019" w:rsidP="0067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районний відділ філії Державної установи «Центр пробації» </w:t>
            </w:r>
            <w:r w:rsidR="00F87E1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Житомирській області </w:t>
            </w:r>
          </w:p>
        </w:tc>
      </w:tr>
      <w:tr w:rsidR="0098296F" w:rsidRPr="00CD79E0" w14:paraId="53DB9F9A" w14:textId="77777777" w:rsidTr="000273C4">
        <w:trPr>
          <w:trHeight w:val="21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C3834" w14:textId="7120827B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 w:rsidR="000273C4" w:rsidRPr="00CD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E4FB61" w14:textId="05CF0149" w:rsidR="0098296F" w:rsidRPr="00CD79E0" w:rsidRDefault="0098296F" w:rsidP="0067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Співрозробник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  <w:p w14:paraId="408CA5EF" w14:textId="77777777" w:rsidR="0098296F" w:rsidRPr="00CD79E0" w:rsidRDefault="0098296F" w:rsidP="0067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98AA" w14:textId="61E7DE27" w:rsidR="0098296F" w:rsidRPr="00CD79E0" w:rsidRDefault="00FF0019" w:rsidP="00673BA0">
            <w:pPr>
              <w:spacing w:after="0" w:line="240" w:lineRule="auto"/>
              <w:jc w:val="both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Новоград-Волинська міська рада</w:t>
            </w:r>
          </w:p>
        </w:tc>
      </w:tr>
      <w:tr w:rsidR="0098296F" w:rsidRPr="00DE2BAB" w14:paraId="050AE448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6BBE0" w14:textId="6D49026C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273C4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24D8D" w14:textId="161515C3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Відповідальний виконавець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5159C" w14:textId="41FFD6FB" w:rsidR="0098296F" w:rsidRPr="00CD79E0" w:rsidRDefault="00FF0019" w:rsidP="00673BA0">
            <w:pPr>
              <w:spacing w:after="0" w:line="240" w:lineRule="auto"/>
              <w:jc w:val="both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районний відділ філії Державної установи «Центр пробації» </w:t>
            </w:r>
            <w:r w:rsidR="00F87E1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Житомирській області</w:t>
            </w:r>
            <w:r w:rsidRPr="00CD79E0">
              <w:rPr>
                <w:lang w:val="uk-UA"/>
              </w:rPr>
              <w:t xml:space="preserve"> </w:t>
            </w:r>
          </w:p>
        </w:tc>
      </w:tr>
      <w:tr w:rsidR="0098296F" w:rsidRPr="00DE2BAB" w14:paraId="1DE5A7D2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45322" w14:textId="782B914C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0273C4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5602F1" w14:textId="455BA33C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Учасники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B84E1" w14:textId="342ED0B0" w:rsidR="0098296F" w:rsidRPr="00CD79E0" w:rsidRDefault="006B1FF2" w:rsidP="00673BA0">
            <w:pPr>
              <w:spacing w:after="0" w:line="240" w:lineRule="auto"/>
              <w:jc w:val="both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районний </w:t>
            </w:r>
            <w:r w:rsidR="007C221C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відділ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філії Державної установи «Центр пробації» </w:t>
            </w:r>
            <w:r w:rsidR="00F87E1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C221C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Житомирській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області, виконавчі органи 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Новоград-Волинської</w:t>
            </w:r>
            <w:r w:rsidR="007C221C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5D568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ради, що </w:t>
            </w:r>
            <w:r w:rsidR="00A82ED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беруть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участь у виконанні заходів Програми, </w:t>
            </w:r>
            <w:r w:rsidR="000273C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міський </w:t>
            </w:r>
            <w:r w:rsidR="005D568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центр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зайнятості (за </w:t>
            </w:r>
            <w:r w:rsidR="00A82ED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згодою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  <w:r w:rsidR="000273C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Новоград-Волинський РВП ГУНП в Житомирській області (за </w:t>
            </w:r>
            <w:r w:rsidR="00A82ED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згодою</w:t>
            </w:r>
            <w:r w:rsidR="000273C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</w:p>
        </w:tc>
      </w:tr>
      <w:tr w:rsidR="0098296F" w:rsidRPr="00CD79E0" w14:paraId="13156029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3F557" w14:textId="434F80A7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273C4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BA1D" w14:textId="69149736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Термін реалізації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рограми 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BA428" w14:textId="4BC6C609" w:rsidR="0098296F" w:rsidRPr="00CD79E0" w:rsidRDefault="00FA30DD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2022</w:t>
            </w:r>
            <w:r w:rsidR="00DF3DB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-202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DF3DB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191B4E" w:rsidRPr="00DE2BAB" w14:paraId="12FA990A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5C0EE" w14:textId="241C353C" w:rsidR="00191B4E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91B4E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729C7" w14:textId="34992E23" w:rsidR="00191B4E" w:rsidRPr="00CD79E0" w:rsidRDefault="00191B4E" w:rsidP="0067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</w:t>
            </w:r>
            <w:r w:rsidR="00835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A7D6E" w14:textId="242280C0" w:rsidR="00191B4E" w:rsidRPr="00CD79E0" w:rsidRDefault="00191B4E" w:rsidP="0067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 межах фінансових можливостей міської територіальної громади</w:t>
            </w:r>
          </w:p>
        </w:tc>
      </w:tr>
      <w:tr w:rsidR="0098296F" w:rsidRPr="00CD79E0" w14:paraId="55DB495A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7459" w14:textId="77777777" w:rsidR="0098296F" w:rsidRPr="00CD79E0" w:rsidRDefault="0098296F" w:rsidP="0067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847E3" w14:textId="77777777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A82DE" w14:textId="77777777" w:rsidR="0098296F" w:rsidRPr="00CD79E0" w:rsidRDefault="0098296F" w:rsidP="0067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8296F" w:rsidRPr="00DE2BAB" w14:paraId="4437E736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9DF34" w14:textId="77777777" w:rsidR="0098296F" w:rsidRPr="00CD79E0" w:rsidRDefault="0098296F" w:rsidP="0067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C21B" w14:textId="22B69F3D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коштів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75516" w14:textId="23DC7E17" w:rsidR="0098296F" w:rsidRPr="00CD79E0" w:rsidRDefault="00191B4E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 межах фінансових можливостей бюджету міської територіальної громади</w:t>
            </w:r>
          </w:p>
        </w:tc>
      </w:tr>
    </w:tbl>
    <w:p w14:paraId="28796B66" w14:textId="1786B1E1" w:rsidR="00835C3D" w:rsidRDefault="00835C3D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62C27B" w14:textId="58CBB5EF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A0F7615" w14:textId="5E31B874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47E1627" w14:textId="6424B21A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D18AC6" w14:textId="501AE85F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35170B6" w14:textId="565DB4AE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3E96AC0" w14:textId="0CB1250A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E6A995" w14:textId="66046E67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30C44E1" w14:textId="77777777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CB59D41" w14:textId="77C5CD61" w:rsidR="0098296F" w:rsidRPr="00CD79E0" w:rsidRDefault="0098296F" w:rsidP="00673B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="00673BA0" w:rsidRPr="00673BA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1E5E9032" w14:textId="77777777" w:rsidR="0098296F" w:rsidRPr="00CD79E0" w:rsidRDefault="0098296F" w:rsidP="00673B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CCE8FE1" w14:textId="35237F2E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Злочинність 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770A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Новоград-Волинській міській територіальній громаді</w:t>
      </w:r>
      <w:r w:rsidR="002B13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міська ТГ)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залишається одним з головних чинників, який суттєво впливає на проведення соціально-економічних перетворень, і становить реальну загрозу безпеці </w:t>
      </w:r>
      <w:r w:rsidR="002B13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її </w:t>
      </w:r>
      <w:r w:rsidR="00A82ED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жителів.</w:t>
      </w:r>
    </w:p>
    <w:p w14:paraId="0B7269AE" w14:textId="2CB15C3C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цих умовах особливо важливим є забезпечення повноцінного функціонування органів, робота яких спрямована на зменшення злочинності, і для цього мають бути створенні всі необхідні умови. На жаль,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ц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органи мають недостатнє фінансування з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державного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бюджету, через що відбувається постійне зростання злочинності, а ефективність профілактичних заходів лишається низькою. </w:t>
      </w:r>
    </w:p>
    <w:p w14:paraId="3F4D01DE" w14:textId="1B896119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Одним із таких органів є 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Новоград-Волинський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районний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відділ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філії Державної установи «Центр пробації» </w:t>
      </w:r>
      <w:r w:rsidR="000273C4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Житомирській</w:t>
      </w:r>
      <w:r w:rsidR="00F32B7B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F1204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області (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далі – 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Новоград-Волинський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що був створений відповідно до Закону України «Про пробацію», основною метою якого є забезпечення безпеки суспільства шляхом виправлення засуджених, запобігання вчиненню ними повторних кримінальних правопорушень. </w:t>
      </w:r>
    </w:p>
    <w:p w14:paraId="084D6A55" w14:textId="09078DEA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Працівники 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виконують переважно кримінальні покарання, не пов’язані з позбавленням волі, адміністративні стягнення у виді громадських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виправних та суспільно корисних робіт, здійснюють нагляд за особами звільненими від відбування покарання з випробуванням, складають досудові доповіді (забезпечення суду формалізованою інформацією, що характеризує обвинуваченого, з метою прийняття судом справедливого рішення щодо міри покарання)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беруть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участь у підготовці до звільнення осіб, які відбувають покарання у виді обмеження волі або позбавлення волі на певний строк. З метою реалізації пробаційних програм та інших соціально-виховних заходів, спрямованих на усунення криміногенних чинників в житті засуджених, які сприяють скоєнню ними нових правопорушень, 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Новоград-Волинський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залучає додатково інші наявні ресурси громади – органи державної влади, а так само волонтерів пробації, підприємства, установи та організації н</w:t>
      </w:r>
      <w:r w:rsidR="006F6F8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езалежно від форми власності. К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рім цього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Новоград-Волинський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D79E0">
        <w:rPr>
          <w:rFonts w:ascii="Times New Roman" w:eastAsia="Calibri" w:hAnsi="Times New Roman"/>
          <w:sz w:val="28"/>
          <w:szCs w:val="28"/>
          <w:lang w:val="uk-UA" w:eastAsia="ja-JP"/>
        </w:rPr>
        <w:t xml:space="preserve">спрямовує і координує діяльність усіх органів, залучених до роботи із засудженими особами або звільненими від відбування покарання з випробуванням. </w:t>
      </w:r>
    </w:p>
    <w:p w14:paraId="1CF4F9B3" w14:textId="10B76639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Однак, ефективне виконання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Новоград-Волинським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вищезазначених функцій та покладених на нього завдань, у тому числі щодо здійснення контролю за особами, які перебувають на обліку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неможливе без належного матеріально-технічного забезпечення, яке на сьогоднішній день є відсутнім.</w:t>
      </w:r>
      <w:r w:rsidRPr="00CD79E0">
        <w:rPr>
          <w:rFonts w:eastAsia="Calibri"/>
          <w:sz w:val="28"/>
          <w:szCs w:val="28"/>
          <w:lang w:val="uk-UA"/>
        </w:rPr>
        <w:t xml:space="preserve"> </w:t>
      </w:r>
    </w:p>
    <w:p w14:paraId="7D1C120E" w14:textId="0A206962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Так, однією з функцій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перевірка засуджених осіб за місцем проживанням, однак державним бюджетом не передбачено ані забезпечення персоналу пробації транспортними засобами для виконання цієї функції, ані відшкодування їм проїзду у громадському транспорті, ані забезпечення працівників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засобами особистої безпеки. Враховуючи особливості цільової категорії, з якою працює персонал пробації, питання особистої безпеки працівників є критичним і потребує термінового вирішення. Опитування персоналу служби пробації, яке проводилось у 20</w:t>
      </w:r>
      <w:r w:rsidR="00F32B7B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показало, що у 47% випадках працівники пробації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зіштовхуються з агресивною поведінкою з боку правопорушників при проведені індивідуальної роботи та перевірок за місцем проживання і лише 6% опитуваних жодного разу не зіштовхувалися з випадками агресивної поведінки з боку правопорушників. Це підтверджує специфіку та складність роботи, виконуваної персоналом пробації та актуальність гарантій безпеки та страхування життя і здоров'я. </w:t>
      </w:r>
    </w:p>
    <w:p w14:paraId="38ED8E9C" w14:textId="275F7F30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Також важливим залишається питання створення належних умов на базі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організації ефективної роботи із особами засудженими до альтерн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ативних видів покарань. Наразі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потребує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</w:t>
      </w:r>
      <w:r w:rsidR="006F6F8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меблями, оргтехнікою та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канцелярією. </w:t>
      </w:r>
    </w:p>
    <w:p w14:paraId="0C84C354" w14:textId="1E0A36D4" w:rsidR="0098296F" w:rsidRPr="00CD79E0" w:rsidRDefault="0098296F" w:rsidP="00673BA0">
      <w:pPr>
        <w:spacing w:after="0" w:line="240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Реалізація поставлених перед органами пробації завдань щодо протидій злочинності можлива лише за умови тісного та ефективного співробітництва з іншими органами влади, органами місцевого самоврядування, у тому числі з депутатським корпусом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Новоград-Волинської </w:t>
      </w:r>
      <w:r w:rsidR="005D5684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міської</w:t>
      </w:r>
      <w:r w:rsidR="005F328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питаннях забезпечення належної профілактики правопорушень, правового та соціального захисту громадян України. </w:t>
      </w:r>
    </w:p>
    <w:p w14:paraId="5C461A06" w14:textId="77777777" w:rsidR="0098296F" w:rsidRPr="00CD79E0" w:rsidRDefault="0098296F" w:rsidP="00673BA0">
      <w:pPr>
        <w:pStyle w:val="rvps2"/>
        <w:shd w:val="clear" w:color="auto" w:fill="FFFFFF"/>
        <w:spacing w:before="0" w:after="0"/>
        <w:ind w:firstLine="720"/>
        <w:jc w:val="both"/>
        <w:textAlignment w:val="baseline"/>
        <w:rPr>
          <w:rFonts w:eastAsia="Calibri"/>
          <w:sz w:val="28"/>
          <w:szCs w:val="28"/>
          <w:lang w:val="uk-UA"/>
        </w:rPr>
      </w:pPr>
      <w:r w:rsidRPr="00CD79E0">
        <w:rPr>
          <w:sz w:val="28"/>
          <w:szCs w:val="28"/>
          <w:shd w:val="clear" w:color="auto" w:fill="FFFFFF"/>
          <w:lang w:val="uk-UA"/>
        </w:rPr>
        <w:t>Відповідно до частини 1 статті 38 Закону України «Про місцеве самоврядування в Україні» до відання виконавчих органів міських</w:t>
      </w:r>
      <w:r w:rsidRPr="00CD79E0">
        <w:rPr>
          <w:sz w:val="28"/>
          <w:szCs w:val="28"/>
          <w:lang w:val="uk-UA"/>
        </w:rPr>
        <w:t xml:space="preserve"> рад</w:t>
      </w:r>
      <w:r w:rsidRPr="00CD79E0">
        <w:rPr>
          <w:sz w:val="28"/>
          <w:szCs w:val="28"/>
          <w:shd w:val="clear" w:color="auto" w:fill="FFFFFF"/>
          <w:lang w:val="uk-UA"/>
        </w:rPr>
        <w:t xml:space="preserve"> у сфері забезпечення законності, правопорядку, охорони прав, свобод і законних інтересів громадян</w:t>
      </w:r>
      <w:bookmarkStart w:id="1" w:name="n506"/>
      <w:bookmarkEnd w:id="1"/>
      <w:r w:rsidRPr="00CD79E0">
        <w:rPr>
          <w:sz w:val="28"/>
          <w:szCs w:val="28"/>
          <w:shd w:val="clear" w:color="auto" w:fill="FFFFFF"/>
          <w:lang w:val="uk-UA"/>
        </w:rPr>
        <w:t xml:space="preserve"> </w:t>
      </w:r>
      <w:r w:rsidRPr="00CD79E0">
        <w:rPr>
          <w:sz w:val="28"/>
          <w:szCs w:val="28"/>
          <w:lang w:val="uk-UA"/>
        </w:rPr>
        <w:t>належать</w:t>
      </w:r>
      <w:r w:rsidRPr="00CD79E0">
        <w:rPr>
          <w:sz w:val="28"/>
          <w:szCs w:val="28"/>
          <w:shd w:val="clear" w:color="auto" w:fill="FFFFFF"/>
          <w:lang w:val="uk-UA"/>
        </w:rPr>
        <w:t xml:space="preserve"> сприяння діяльності органів Державної кримінально-виконавчої служби України.</w:t>
      </w:r>
    </w:p>
    <w:p w14:paraId="08612DFA" w14:textId="5C053302" w:rsidR="0098296F" w:rsidRPr="00CD79E0" w:rsidRDefault="0098296F" w:rsidP="0067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Саме тому в основу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цієї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покладено принцип об’єднання зусиль виконавчих органів місцевого самоврядування, депутатського корпусу, правоохоронних органів та громадськості для забезпечення належного стану охорони громадського порядку та профілактики злочинності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 міської</w:t>
      </w:r>
      <w:r w:rsidR="009E40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</w:p>
    <w:p w14:paraId="7EE6D2AF" w14:textId="77777777" w:rsidR="0098296F" w:rsidRPr="00CD79E0" w:rsidRDefault="0098296F" w:rsidP="0067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ВИЗНАЧЕННЯ МЕТИ</w:t>
      </w:r>
    </w:p>
    <w:p w14:paraId="782D7264" w14:textId="77777777" w:rsidR="0098296F" w:rsidRPr="00CD79E0" w:rsidRDefault="0098296F" w:rsidP="0067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8A590C" w14:textId="044E50FF" w:rsidR="0098296F" w:rsidRPr="00CD79E0" w:rsidRDefault="0098296F" w:rsidP="00673BA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Програми є забезпечення підвищення загального рівня безпеки, зменшення кількості правопорушень, забезпечення безпеки населення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</w:t>
      </w:r>
      <w:r w:rsidR="009E4059">
        <w:rPr>
          <w:rFonts w:ascii="Times New Roman" w:eastAsia="Calibri" w:hAnsi="Times New Roman" w:cs="Times New Roman"/>
          <w:sz w:val="28"/>
          <w:szCs w:val="28"/>
          <w:lang w:val="uk-UA"/>
        </w:rPr>
        <w:t>ТГ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шляхом розроблення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здійснення комплексу заходів, спрямованих на усунення причин та умов учинення протиправних діянь, а також налагодження дієвої співпраці органів пробації та місцевих органів виконавчої влади в зазначеній сфері. </w:t>
      </w:r>
    </w:p>
    <w:p w14:paraId="1086D86F" w14:textId="77777777" w:rsidR="0098296F" w:rsidRPr="00CD79E0" w:rsidRDefault="0098296F" w:rsidP="00673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top"/>
      <w:bookmarkEnd w:id="2"/>
    </w:p>
    <w:p w14:paraId="11B7DD63" w14:textId="3E196D7C" w:rsidR="00673BA0" w:rsidRDefault="0098296F" w:rsidP="00673BA0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ПРОБЛЕМИ, ОБСЯГІВ ТА ДЖЕРЕЛ ФІНАНСУВАННЯ, СТРОКИ ВИКОНАНН</w:t>
      </w:r>
      <w:r w:rsidR="00673B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 ЗАВДАНЬ, ЗАХОДІВ</w:t>
      </w:r>
    </w:p>
    <w:p w14:paraId="7089FA06" w14:textId="7849990F" w:rsidR="00673BA0" w:rsidRDefault="00673BA0" w:rsidP="00673BA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1B198A8" w14:textId="77777777" w:rsidR="0098296F" w:rsidRPr="00CD79E0" w:rsidRDefault="0098296F" w:rsidP="00673BA0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Досягненню цієї мети сприятимуть заходи, спрямовані на:</w:t>
      </w:r>
    </w:p>
    <w:p w14:paraId="153A15D0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активізацію діяльності виконавчих органів місцевого самоврядування, пробації, та інших установ, що пов’язані з профілактикою правопорушень;</w:t>
      </w:r>
      <w:r w:rsidRPr="00CD79E0">
        <w:rPr>
          <w:rFonts w:ascii="Verdana" w:eastAsia="Calibri" w:hAnsi="Verdana"/>
          <w:color w:val="000000"/>
          <w:sz w:val="28"/>
          <w:szCs w:val="28"/>
          <w:shd w:val="clear" w:color="auto" w:fill="FFFFFF"/>
          <w:lang w:val="uk-UA"/>
        </w:rPr>
        <w:t> </w:t>
      </w:r>
    </w:p>
    <w:p w14:paraId="7063898E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координації спільних зусиль з профілактики правопорушень між органами місцевого самоврядування, пробації та інших установ, які працюють із засудженими, або звільненими від відбування покарання з випробуванням з метою уникнення дублювання функцій та поліпшення якості процедур, що виконуються при роботі із цією категорією осіб;</w:t>
      </w:r>
    </w:p>
    <w:p w14:paraId="35A0F7E2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підвищення рівня правової освіти населення та правового виховання молоді шляхом запровадження сучасних форм і методів профілактики, розроблення інформаційно-пропагандистських та культурно-виховних програм;</w:t>
      </w:r>
    </w:p>
    <w:p w14:paraId="7B527722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системи профілактики правопорушень, спрямованої на соціальну адаптацію осіб, звільнених з місць позбавлення волі;</w:t>
      </w:r>
    </w:p>
    <w:p w14:paraId="25B151FB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запобігання втягненню у злочинну діяльність нових соціальних груп, особливо неповнолітніх;</w:t>
      </w:r>
    </w:p>
    <w:p w14:paraId="1EA2E320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висвітлення в засобах масової інформації діяльності органів місцевого самоврядування, пробації, та інших установ щодо профілактики правопорушень, з метою підвищення поінформованості громадян;</w:t>
      </w:r>
    </w:p>
    <w:p w14:paraId="69F00D67" w14:textId="06FE326F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створення належних умов на базі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5F328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, що надають змогу проводити ефективну роботу щодо реабілітації та ресоціалізації осіб, засуджених до покарань без позбавлення волі та сприятиме запобіганню скоєнню ними нових кримінальних правопорушень.</w:t>
      </w:r>
    </w:p>
    <w:p w14:paraId="393F0CE6" w14:textId="79F742DA" w:rsidR="0098296F" w:rsidRPr="00CD79E0" w:rsidRDefault="0098296F" w:rsidP="00673B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Внаслідок посилення профілактичного впливу на осіб, які перебувають на обліку в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Новоград-Волинському </w:t>
      </w:r>
      <w:r w:rsidR="005F328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очікується:</w:t>
      </w:r>
    </w:p>
    <w:p w14:paraId="42DE9D49" w14:textId="77777777" w:rsidR="0098296F" w:rsidRPr="00CD79E0" w:rsidRDefault="0098296F" w:rsidP="00673BA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зниження рівня злочинності та кількості повторних злочинів, ослаблення суспільної напруги, викликаної її впливом;</w:t>
      </w:r>
    </w:p>
    <w:p w14:paraId="7144C92A" w14:textId="77777777" w:rsidR="0098296F" w:rsidRPr="00CD79E0" w:rsidRDefault="0098296F" w:rsidP="00673BA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мінімізація злочинного впливу на молодь та підлітків, усунення причин і умов, що сприяють втягненню їх у протиправну діяльність;</w:t>
      </w:r>
    </w:p>
    <w:p w14:paraId="76E653AE" w14:textId="1A1E1EB1" w:rsidR="0098296F" w:rsidRPr="00CD79E0" w:rsidRDefault="0098296F" w:rsidP="00673BA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сприяння ресоціалізації осіб, які звільнилися з місць позбавлення волі; </w:t>
      </w:r>
    </w:p>
    <w:p w14:paraId="7D252B20" w14:textId="77777777" w:rsidR="0098296F" w:rsidRPr="00CD79E0" w:rsidRDefault="0098296F" w:rsidP="00673BA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досягнення належного рівня фінансового і матеріального забезпечення органу</w:t>
      </w:r>
      <w:r w:rsidRPr="00CD79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пробації та профілактичної діяльності.</w:t>
      </w:r>
    </w:p>
    <w:p w14:paraId="15F460A4" w14:textId="383FD65C" w:rsidR="0098296F" w:rsidRPr="00CD79E0" w:rsidRDefault="0098296F" w:rsidP="00673BA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заходів, передбачених Програмою, здійснюватиметься за рахунок коштів бюджету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</w:t>
      </w:r>
      <w:r w:rsidR="009E4059">
        <w:rPr>
          <w:rFonts w:ascii="Times New Roman" w:eastAsia="Calibri" w:hAnsi="Times New Roman" w:cs="Times New Roman"/>
          <w:sz w:val="28"/>
          <w:szCs w:val="28"/>
          <w:lang w:val="uk-UA"/>
        </w:rPr>
        <w:t>ТГ</w:t>
      </w:r>
      <w:r w:rsidR="00A82ED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(додаток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Програми).</w:t>
      </w:r>
    </w:p>
    <w:p w14:paraId="5B2C2A59" w14:textId="77777777" w:rsidR="0098296F" w:rsidRPr="00CD79E0" w:rsidRDefault="0098296F" w:rsidP="00673BA0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619011" w14:textId="77777777" w:rsidR="0098296F" w:rsidRPr="00CD79E0" w:rsidRDefault="0098296F" w:rsidP="00673BA0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14:paraId="61E0C00E" w14:textId="77777777" w:rsidR="0098296F" w:rsidRPr="00CD79E0" w:rsidRDefault="0098296F" w:rsidP="00673BA0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634B7CD" w14:textId="12A523B4" w:rsidR="0098296F" w:rsidRPr="00CD79E0" w:rsidRDefault="0098296F" w:rsidP="00673BA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Перелік завдань та заходів Програми та напрями викорис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тання коштів наведено у додатку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</w:t>
      </w:r>
    </w:p>
    <w:p w14:paraId="2F7BD75D" w14:textId="77777777" w:rsidR="0098296F" w:rsidRPr="00CD79E0" w:rsidRDefault="0098296F" w:rsidP="00673B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3D01E4D9" w14:textId="77777777" w:rsidR="0098296F" w:rsidRPr="00CD79E0" w:rsidRDefault="0098296F" w:rsidP="0067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14:paraId="0CB53F6A" w14:textId="77777777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14:paraId="204E6C2C" w14:textId="4BB6959D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координація та контроль за ходом виконання Програми покладені на </w:t>
      </w:r>
      <w:r w:rsidR="00485A36"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секретаря міської ради</w:t>
      </w: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постійну комісію </w:t>
      </w:r>
      <w:r w:rsidR="005D5684"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5F328C"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з питань </w:t>
      </w:r>
      <w:r w:rsidR="00485A36"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депутатської етики, дотримання законності та охорони прав і свобод громадян</w:t>
      </w: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B98A355" w14:textId="44AAAE0E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7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Звіт про виконання Програми заслуховується щорічно на сесії </w:t>
      </w:r>
      <w:r w:rsidR="005D5684" w:rsidRPr="00CD7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="005F328C" w:rsidRPr="00CD7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</w:t>
      </w:r>
      <w:r w:rsidR="009E40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864AD31" w14:textId="77777777" w:rsidR="00890080" w:rsidRDefault="00890080" w:rsidP="0067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D0A9853" w14:textId="77777777" w:rsidR="00890080" w:rsidRDefault="00890080" w:rsidP="0067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5F79BD7" w14:textId="1EAD145C" w:rsidR="004B7B30" w:rsidRDefault="0098296F" w:rsidP="0067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5D5684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5A36"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4059">
        <w:rPr>
          <w:rFonts w:ascii="Times New Roman" w:hAnsi="Times New Roman" w:cs="Times New Roman"/>
          <w:sz w:val="28"/>
          <w:szCs w:val="28"/>
          <w:lang w:val="uk-UA"/>
        </w:rPr>
        <w:t xml:space="preserve">      Оксана ГВОЗДЕНКО</w:t>
      </w:r>
    </w:p>
    <w:p w14:paraId="59112213" w14:textId="01550A7F" w:rsidR="004B7B30" w:rsidRDefault="004B7B30" w:rsidP="0067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8CD5E3F" w14:textId="77777777" w:rsidR="001C3A1A" w:rsidRDefault="001C3A1A" w:rsidP="00673BA0">
      <w:pPr>
        <w:pStyle w:val="msonormalcxspmiddle"/>
        <w:spacing w:before="0" w:beforeAutospacing="0" w:after="0" w:afterAutospacing="0" w:line="256" w:lineRule="auto"/>
        <w:contextualSpacing/>
        <w:rPr>
          <w:lang w:val="uk-UA"/>
        </w:rPr>
      </w:pPr>
    </w:p>
    <w:p w14:paraId="061F9815" w14:textId="77777777" w:rsidR="001C3A1A" w:rsidRDefault="001C3A1A" w:rsidP="00673BA0">
      <w:pPr>
        <w:pStyle w:val="msonormalcxspmiddle"/>
        <w:spacing w:before="0" w:beforeAutospacing="0" w:after="0" w:afterAutospacing="0" w:line="256" w:lineRule="auto"/>
        <w:contextualSpacing/>
        <w:rPr>
          <w:lang w:val="uk-UA"/>
        </w:rPr>
      </w:pPr>
    </w:p>
    <w:p w14:paraId="5162E942" w14:textId="77777777" w:rsidR="001C3A1A" w:rsidRDefault="001C3A1A" w:rsidP="00673BA0">
      <w:pPr>
        <w:pStyle w:val="msonormalcxspmiddle"/>
        <w:spacing w:before="0" w:beforeAutospacing="0" w:after="0" w:afterAutospacing="0" w:line="256" w:lineRule="auto"/>
        <w:contextualSpacing/>
        <w:rPr>
          <w:lang w:val="uk-UA"/>
        </w:rPr>
      </w:pPr>
    </w:p>
    <w:p w14:paraId="63776FCA" w14:textId="77777777" w:rsidR="00673BA0" w:rsidRDefault="00673BA0" w:rsidP="00673BA0">
      <w:pPr>
        <w:pStyle w:val="msonormalcxspmiddle"/>
        <w:spacing w:before="0" w:beforeAutospacing="0" w:after="0" w:afterAutospacing="0" w:line="256" w:lineRule="auto"/>
        <w:contextualSpacing/>
        <w:rPr>
          <w:lang w:val="uk-UA"/>
        </w:rPr>
        <w:sectPr w:rsidR="00673BA0" w:rsidSect="00673BA0">
          <w:pgSz w:w="11906" w:h="16838"/>
          <w:pgMar w:top="567" w:right="851" w:bottom="425" w:left="1418" w:header="709" w:footer="709" w:gutter="0"/>
          <w:cols w:space="708"/>
          <w:docGrid w:linePitch="360"/>
        </w:sectPr>
      </w:pPr>
    </w:p>
    <w:p w14:paraId="4FDD2DCD" w14:textId="70F2CDA2" w:rsidR="00A6357E" w:rsidRDefault="00A6357E" w:rsidP="00673BA0">
      <w:pPr>
        <w:pStyle w:val="msonormalcxspmiddle"/>
        <w:spacing w:before="0" w:beforeAutospacing="0" w:after="0" w:afterAutospacing="0" w:line="256" w:lineRule="auto"/>
        <w:ind w:left="13183"/>
        <w:contextualSpacing/>
        <w:rPr>
          <w:lang w:val="uk-UA"/>
        </w:rPr>
      </w:pPr>
      <w:r>
        <w:rPr>
          <w:lang w:val="uk-UA"/>
        </w:rPr>
        <w:lastRenderedPageBreak/>
        <w:t>Додаток д</w:t>
      </w:r>
      <w:r w:rsidRPr="00105A47">
        <w:rPr>
          <w:lang w:val="uk-UA"/>
        </w:rPr>
        <w:t xml:space="preserve">о Програми </w:t>
      </w:r>
    </w:p>
    <w:p w14:paraId="2DC7B33E" w14:textId="77777777" w:rsidR="00212777" w:rsidRDefault="00212777" w:rsidP="00673BA0">
      <w:pPr>
        <w:pStyle w:val="msonormalcxspmiddle"/>
        <w:spacing w:before="0" w:beforeAutospacing="0" w:after="0" w:afterAutospacing="0" w:line="256" w:lineRule="auto"/>
        <w:ind w:left="13183"/>
        <w:contextualSpacing/>
        <w:rPr>
          <w:lang w:val="uk-UA"/>
        </w:rPr>
      </w:pPr>
    </w:p>
    <w:p w14:paraId="18888408" w14:textId="77777777" w:rsidR="00A6357E" w:rsidRDefault="00A6357E" w:rsidP="00673BA0">
      <w:pPr>
        <w:pStyle w:val="msonormalcxspmiddle"/>
        <w:spacing w:before="0" w:beforeAutospacing="0" w:after="0" w:afterAutospacing="0" w:line="256" w:lineRule="auto"/>
        <w:contextualSpacing/>
        <w:jc w:val="center"/>
        <w:rPr>
          <w:b/>
          <w:lang w:val="uk-UA"/>
        </w:rPr>
      </w:pPr>
      <w:r>
        <w:rPr>
          <w:b/>
          <w:lang w:val="uk-UA"/>
        </w:rPr>
        <w:t>ПЕРЕЛІК ЗАВДАНЬ І ЗАХОДІВ ПРОГРАМИ.</w:t>
      </w:r>
      <w:r>
        <w:rPr>
          <w:b/>
        </w:rPr>
        <w:t xml:space="preserve"> НАПРЯМИ ВИКОРИСТАННЯ БЮДЖЕТНИХ КОШТІВ ТА РЕЗУЛЬТАТИВНІ ПОКАЗНИКИ</w:t>
      </w:r>
    </w:p>
    <w:tbl>
      <w:tblPr>
        <w:tblW w:w="1537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868"/>
        <w:gridCol w:w="2299"/>
        <w:gridCol w:w="1285"/>
        <w:gridCol w:w="2401"/>
        <w:gridCol w:w="1738"/>
        <w:gridCol w:w="950"/>
        <w:gridCol w:w="850"/>
        <w:gridCol w:w="851"/>
        <w:gridCol w:w="2627"/>
      </w:tblGrid>
      <w:tr w:rsidR="00673BA0" w14:paraId="56D9A654" w14:textId="77777777" w:rsidTr="00673BA0">
        <w:trPr>
          <w:trHeight w:val="821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B6608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63079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734E7D8D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Напрям діяльності (пріоритетне завдання)</w:t>
            </w:r>
          </w:p>
        </w:tc>
        <w:tc>
          <w:tcPr>
            <w:tcW w:w="2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38422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4460D435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9D683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61673096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FD1E5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2FE40B25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C52D2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54522DF6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6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BA10E1" w14:textId="77777777" w:rsidR="00673BA0" w:rsidRPr="00A6357E" w:rsidRDefault="00673BA0" w:rsidP="00D726DB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02671C3" w14:textId="77777777" w:rsidR="00673BA0" w:rsidRPr="00A6357E" w:rsidRDefault="00673BA0" w:rsidP="00D726DB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/>
                <w:sz w:val="24"/>
                <w:szCs w:val="24"/>
                <w:lang w:val="uk-UA"/>
              </w:rPr>
              <w:t>грн. у тому числі: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E72093" w14:textId="77777777" w:rsidR="00673BA0" w:rsidRPr="00A6357E" w:rsidRDefault="00673BA0" w:rsidP="00D726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673BA0" w14:paraId="1FE00F47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ED953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744C2C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9B1A1D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459430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52E47A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42403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B6857E" w14:textId="77777777" w:rsidR="00673BA0" w:rsidRPr="00A6357E" w:rsidRDefault="00673BA0" w:rsidP="00D726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2C1D19" w14:textId="77777777" w:rsidR="00673BA0" w:rsidRPr="00A6357E" w:rsidRDefault="00673BA0" w:rsidP="00D726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651841" w14:textId="77777777" w:rsidR="00673BA0" w:rsidRPr="00A6357E" w:rsidRDefault="00673BA0" w:rsidP="00D726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63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605D17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DE2BAB" w14:paraId="2A71CCB9" w14:textId="77777777" w:rsidTr="00673BA0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1B6DB0D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EFE6DC6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Організаційно- правове  забезпечення  профілактики  злочинності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5F5B5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та постійне інформування населення про заходи щодо діяльності Новоград-Волинського районного відділу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0041C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5A7A7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 ЗМІ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90E55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  <w:p w14:paraId="1C47AA53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DE4A8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119C4D8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154B4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B6D1B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ED59E6B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поінформованості населення, правильного розуміння та сприйняття функцій пробації, зменшення рівня стереотипного відношення до суб’єктів пробації, а так само до осіб, які звільнились з місць позбавлення волі. Збільшення рівня довіри населення до системи пробації, яка спроможна забезпечити безпеку суспільства.</w:t>
            </w:r>
          </w:p>
          <w:p w14:paraId="242B413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324385" w14:paraId="4580084D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7A4B4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0682E2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7C461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 щодо забезпечення підвищення рівня правової освіти населення, громадської правосвідомості, формування негативного ставлення до протиправних діянь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5CAD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3F2BA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 служба у справах дітей Новоград-Волинської міської ради, Новоград-Волинської міський центр соціальних служб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381D7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8FEC1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BC2104D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819D0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03111D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B44320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324385" w14:paraId="0FE57049" w14:textId="77777777" w:rsidTr="00673BA0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BCB5E7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3F3FC0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Мінімізація злочинного впливу на </w:t>
            </w: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неповнолітніх та  молодіжне середовище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8A1F6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профілактичних і просвітницьких </w:t>
            </w: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заходів із засудженими до покарань не пов’язаних з позбавленням волі, у т.ч. неповнолітніх, які перебувають на обліку пробації,  та їх батьків з питань протидії зловживанню ПАР, пропаганди здорового способу життя та формування законослухняної поведінки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A3926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F5E64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Новоград-Волинський РВ, громадські та </w:t>
            </w: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релігійні організації, благодійні фонди</w:t>
            </w:r>
          </w:p>
          <w:p w14:paraId="6714F845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55605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потребує додаткового фінансування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1C752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875E5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FBB9F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06D65C1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Мінімізація злочинного впливу на молодь та підлітків, </w:t>
            </w: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усунення причин і умов, що сприяють втягненню їх у протиправну діяльність</w:t>
            </w:r>
          </w:p>
        </w:tc>
      </w:tr>
      <w:tr w:rsidR="00673BA0" w:rsidRPr="00324385" w14:paraId="7D3A0F07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16BD2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62462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2B4C52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Своєчасне виявлення сімей, які  перебувають  у  складних життєвих обставинах їх облік, систематична перевірка умов утримання та виховання в них неповнолітніх, надання таким сім’ям адресної допомоги, </w:t>
            </w: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обстеження житлово-побутових умов учнів загальноосвітніх шкіл Новоград-Волинського району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BB80F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постійно 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1023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 служба у справах дітей Новоград-Волинської міської ради, Новоград-Волинський центр соціальних служб, Новоград-Волинський районний відділ поліції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F1854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51D43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08FDE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DC33A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B67F30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DE2BAB" w14:paraId="2E8AF59A" w14:textId="77777777" w:rsidTr="00673BA0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75F8165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5F3D14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Протидія рецидивній злочинності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0D64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проведення заходів, спрямованих на попередження вчинення нових кримінальних правопорушень  особами, засудженими за вчинення злочинів.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A40A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044F4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Новоград-Волинський РВ, служба у справах дітей Новоград-Волинської міської ради, Новоград-Волинський міський центр соціальних служб, Новоград-Волинський районний відділ поліції, громадські та релігійні організації 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2144A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137F2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C0952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EE506D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99043E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профілактичної роботи серед осіб, які перебувають на обліку в органах пробації та поліції</w:t>
            </w:r>
          </w:p>
        </w:tc>
      </w:tr>
      <w:tr w:rsidR="00673BA0" w:rsidRPr="00324385" w14:paraId="1ECBFFCC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3FCDD67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6C684B2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DD770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роз’яснювальної роботи щодо недопущення скоєння нових злочинів та правопорушень серед осіб, які перебувають на обліку пробації та </w:t>
            </w: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осіб, які звільнились з місць позбавлення волі, у т.ч. перевірка даної категорії осіб за місцем їх проживання.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D3E7B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2F230" w14:textId="77777777" w:rsidR="00673BA0" w:rsidRPr="00324385" w:rsidRDefault="00673BA0" w:rsidP="00D726D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РВ,Новоград-Волинський районний відділ поліції</w:t>
            </w:r>
          </w:p>
          <w:p w14:paraId="26D1FECB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28860A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додаткового фінансування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B14BB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747BD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97F68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5D95CDB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324385" w14:paraId="50876CA6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320FE7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3CEEE66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CB0B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взаємодії установ виконання покарань із місцевими органами виконавчої влади щодо побутового влаштування осіб, звільнених з місць позбавлення волі 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471CF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FF12C6" w14:textId="77777777" w:rsidR="00673BA0" w:rsidRPr="00324385" w:rsidRDefault="00673BA0" w:rsidP="00D726D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Новоград-Волинський РВ, Новоград-Волинський міський центр зайнятості, ДПСЗН Новоград-Волинської міської ради 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02A71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додаткового фінансування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91C4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E8093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C74465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797AAFD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DE2BAB" w14:paraId="4AFB4492" w14:textId="77777777" w:rsidTr="00673BA0">
        <w:trPr>
          <w:trHeight w:val="70"/>
          <w:jc w:val="center"/>
        </w:trPr>
        <w:tc>
          <w:tcPr>
            <w:tcW w:w="50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65FF3B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8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5A16BF40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Матеріально-технічне забезпечення Новоград-Волинського районного  відділу філії ДУ «Центр пробації» у Житомирській області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3E493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Придбання, обслуговування, ремонт офісної техніки 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4AB93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70DE1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установа «Центр пробації» Міністерства юстиції України, Новоград-Волинський РВ</w:t>
            </w:r>
          </w:p>
          <w:p w14:paraId="18EC44A9" w14:textId="77777777" w:rsidR="00673BA0" w:rsidRPr="00324385" w:rsidRDefault="00673BA0" w:rsidP="00D726D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2CBA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міської територіальної громади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1BB1B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D9079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C475F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26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3EB0A6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належних умов на базі Новоград-Волинського РВ, що надасть змогу проводити ефективну роботу щодо реабілітації та ресоціалізації осіб, засуджених до покарань без позбавлення волі та </w:t>
            </w: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сприятиме запобіганню скоєнню ними повторних правопорушень</w:t>
            </w:r>
          </w:p>
        </w:tc>
      </w:tr>
      <w:tr w:rsidR="00673BA0" w:rsidRPr="00DE2BAB" w14:paraId="0E113C27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827A7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A20B5D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AD597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канцелярських товарів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00BD6C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6FC195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259C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міської територіальної громади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C0429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867F3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87A9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23DE3B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B002746" w14:textId="77777777" w:rsidR="00A6357E" w:rsidRPr="00673BA0" w:rsidRDefault="00A6357E" w:rsidP="00673BA0">
      <w:pPr>
        <w:pStyle w:val="msonormalcxspmiddle"/>
        <w:spacing w:before="0" w:beforeAutospacing="0" w:after="0" w:afterAutospacing="0"/>
        <w:contextualSpacing/>
        <w:jc w:val="both"/>
      </w:pPr>
    </w:p>
    <w:sectPr w:rsidR="00A6357E" w:rsidRPr="00673BA0" w:rsidSect="00673BA0">
      <w:pgSz w:w="16838" w:h="11906" w:orient="landscape"/>
      <w:pgMar w:top="851" w:right="425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43DE" w14:textId="77777777" w:rsidR="00786D03" w:rsidRDefault="00786D03" w:rsidP="009C75FF">
      <w:pPr>
        <w:spacing w:after="0" w:line="240" w:lineRule="auto"/>
      </w:pPr>
      <w:r>
        <w:separator/>
      </w:r>
    </w:p>
  </w:endnote>
  <w:endnote w:type="continuationSeparator" w:id="0">
    <w:p w14:paraId="6E7DC05F" w14:textId="77777777" w:rsidR="00786D03" w:rsidRDefault="00786D03" w:rsidP="009C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EAE0" w14:textId="77777777" w:rsidR="00786D03" w:rsidRDefault="00786D03" w:rsidP="009C75FF">
      <w:pPr>
        <w:spacing w:after="0" w:line="240" w:lineRule="auto"/>
      </w:pPr>
      <w:r>
        <w:separator/>
      </w:r>
    </w:p>
  </w:footnote>
  <w:footnote w:type="continuationSeparator" w:id="0">
    <w:p w14:paraId="0763DF9A" w14:textId="77777777" w:rsidR="00786D03" w:rsidRDefault="00786D03" w:rsidP="009C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6F"/>
    <w:rsid w:val="000273C4"/>
    <w:rsid w:val="00047AB1"/>
    <w:rsid w:val="0006770A"/>
    <w:rsid w:val="00076424"/>
    <w:rsid w:val="0008518C"/>
    <w:rsid w:val="000F5983"/>
    <w:rsid w:val="00136E9D"/>
    <w:rsid w:val="00153727"/>
    <w:rsid w:val="00164E04"/>
    <w:rsid w:val="001874E5"/>
    <w:rsid w:val="00191B4E"/>
    <w:rsid w:val="001C3A1A"/>
    <w:rsid w:val="00212777"/>
    <w:rsid w:val="002B13CE"/>
    <w:rsid w:val="00324385"/>
    <w:rsid w:val="003402C8"/>
    <w:rsid w:val="00353808"/>
    <w:rsid w:val="003575CE"/>
    <w:rsid w:val="00374432"/>
    <w:rsid w:val="003C5D8E"/>
    <w:rsid w:val="003D2909"/>
    <w:rsid w:val="003E1800"/>
    <w:rsid w:val="003E7C14"/>
    <w:rsid w:val="003F7856"/>
    <w:rsid w:val="00485A36"/>
    <w:rsid w:val="004A111A"/>
    <w:rsid w:val="004A55FC"/>
    <w:rsid w:val="004B7B30"/>
    <w:rsid w:val="005141B9"/>
    <w:rsid w:val="005A5B42"/>
    <w:rsid w:val="005B5A52"/>
    <w:rsid w:val="005D5684"/>
    <w:rsid w:val="005F328C"/>
    <w:rsid w:val="005F7685"/>
    <w:rsid w:val="0060594F"/>
    <w:rsid w:val="006472D2"/>
    <w:rsid w:val="00673BA0"/>
    <w:rsid w:val="006B1FF2"/>
    <w:rsid w:val="006E6CF6"/>
    <w:rsid w:val="006F6F8F"/>
    <w:rsid w:val="00786D03"/>
    <w:rsid w:val="007C221C"/>
    <w:rsid w:val="007F44C3"/>
    <w:rsid w:val="008108B2"/>
    <w:rsid w:val="00835C3D"/>
    <w:rsid w:val="00890080"/>
    <w:rsid w:val="008D5233"/>
    <w:rsid w:val="009139A9"/>
    <w:rsid w:val="00940BDA"/>
    <w:rsid w:val="00973564"/>
    <w:rsid w:val="0098296F"/>
    <w:rsid w:val="009C75FF"/>
    <w:rsid w:val="009E4059"/>
    <w:rsid w:val="009F68BA"/>
    <w:rsid w:val="00A305AB"/>
    <w:rsid w:val="00A30612"/>
    <w:rsid w:val="00A523B2"/>
    <w:rsid w:val="00A52FF8"/>
    <w:rsid w:val="00A6357E"/>
    <w:rsid w:val="00A77EAC"/>
    <w:rsid w:val="00A82EDF"/>
    <w:rsid w:val="00AA1203"/>
    <w:rsid w:val="00AF1204"/>
    <w:rsid w:val="00AF49FD"/>
    <w:rsid w:val="00B51907"/>
    <w:rsid w:val="00B96700"/>
    <w:rsid w:val="00BC2AFC"/>
    <w:rsid w:val="00C06F19"/>
    <w:rsid w:val="00CD79E0"/>
    <w:rsid w:val="00DE2BAB"/>
    <w:rsid w:val="00DF3DB1"/>
    <w:rsid w:val="00E63960"/>
    <w:rsid w:val="00E6558B"/>
    <w:rsid w:val="00E86DC6"/>
    <w:rsid w:val="00EE58E7"/>
    <w:rsid w:val="00F07F4F"/>
    <w:rsid w:val="00F20B81"/>
    <w:rsid w:val="00F32B7B"/>
    <w:rsid w:val="00F7019F"/>
    <w:rsid w:val="00F87E11"/>
    <w:rsid w:val="00FA0723"/>
    <w:rsid w:val="00FA30DD"/>
    <w:rsid w:val="00FF0019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78BE"/>
  <w15:docId w15:val="{CA8BA8CC-4583-49EA-A730-A6000514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6F"/>
    <w:pPr>
      <w:suppressAutoHyphens/>
    </w:pPr>
    <w:rPr>
      <w:rFonts w:ascii="Calibri" w:eastAsia="font291" w:hAnsi="Calibri" w:cs="font291"/>
      <w:color w:val="00000A"/>
      <w:kern w:val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96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8296F"/>
    <w:rPr>
      <w:rFonts w:ascii="Calibri" w:eastAsia="font291" w:hAnsi="Calibri" w:cs="font291"/>
      <w:color w:val="00000A"/>
      <w:kern w:val="1"/>
      <w:lang w:val="en-US"/>
    </w:rPr>
  </w:style>
  <w:style w:type="paragraph" w:customStyle="1" w:styleId="rvps2">
    <w:name w:val="rvps2"/>
    <w:basedOn w:val="a"/>
    <w:rsid w:val="009829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98296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8296F"/>
    <w:rPr>
      <w:rFonts w:ascii="Calibri" w:eastAsia="font291" w:hAnsi="Calibri" w:cs="font291"/>
      <w:color w:val="00000A"/>
      <w:kern w:val="1"/>
      <w:lang w:val="en-US"/>
    </w:rPr>
  </w:style>
  <w:style w:type="paragraph" w:styleId="a7">
    <w:name w:val="footer"/>
    <w:basedOn w:val="a"/>
    <w:link w:val="a8"/>
    <w:rsid w:val="0098296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8296F"/>
    <w:rPr>
      <w:rFonts w:ascii="Calibri" w:eastAsia="font291" w:hAnsi="Calibri" w:cs="font291"/>
      <w:color w:val="00000A"/>
      <w:kern w:val="1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8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E11"/>
    <w:rPr>
      <w:rFonts w:ascii="Segoe UI" w:eastAsia="font291" w:hAnsi="Segoe UI" w:cs="Segoe UI"/>
      <w:color w:val="00000A"/>
      <w:kern w:val="1"/>
      <w:sz w:val="18"/>
      <w:szCs w:val="18"/>
      <w:lang w:val="en-US"/>
    </w:rPr>
  </w:style>
  <w:style w:type="paragraph" w:styleId="ab">
    <w:name w:val="Normal (Web)"/>
    <w:basedOn w:val="a"/>
    <w:rsid w:val="004B7B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</w:rPr>
  </w:style>
  <w:style w:type="paragraph" w:customStyle="1" w:styleId="1">
    <w:name w:val="Без интервала1"/>
    <w:rsid w:val="004B7B3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sonormalcxspmiddle">
    <w:name w:val="msonormalcxspmiddle"/>
    <w:basedOn w:val="a"/>
    <w:rsid w:val="004B7B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</w:rPr>
  </w:style>
  <w:style w:type="paragraph" w:customStyle="1" w:styleId="2">
    <w:name w:val="Без интервала2"/>
    <w:rsid w:val="0097356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c">
    <w:name w:val="List Paragraph"/>
    <w:basedOn w:val="a"/>
    <w:uiPriority w:val="34"/>
    <w:qFormat/>
    <w:rsid w:val="0067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A038-AC1C-4F90-9013-7D9664D4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DELL320</dc:creator>
  <cp:lastModifiedBy>Пользователь Windows</cp:lastModifiedBy>
  <cp:revision>5</cp:revision>
  <cp:lastPrinted>2021-10-08T06:58:00Z</cp:lastPrinted>
  <dcterms:created xsi:type="dcterms:W3CDTF">2021-11-02T09:16:00Z</dcterms:created>
  <dcterms:modified xsi:type="dcterms:W3CDTF">2021-11-02T09:32:00Z</dcterms:modified>
</cp:coreProperties>
</file>