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EA" w:rsidRDefault="008E4CEA">
      <w:pPr>
        <w:rPr>
          <w:noProof/>
          <w:sz w:val="20"/>
          <w:lang w:val="ru-RU" w:eastAsia="ru-RU"/>
        </w:rPr>
      </w:pPr>
    </w:p>
    <w:p w:rsidR="005767AA" w:rsidRPr="005767AA" w:rsidRDefault="005767AA" w:rsidP="005767AA">
      <w:pPr>
        <w:jc w:val="right"/>
        <w:rPr>
          <w:noProof/>
          <w:sz w:val="24"/>
          <w:szCs w:val="24"/>
          <w:lang w:val="ru-RU" w:eastAsia="ru-RU"/>
        </w:rPr>
      </w:pPr>
    </w:p>
    <w:p w:rsidR="003D4C78" w:rsidRPr="005767AA" w:rsidRDefault="005767AA" w:rsidP="005767AA">
      <w:pPr>
        <w:jc w:val="center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                                                          </w:t>
      </w:r>
      <w:r w:rsidR="004C1708">
        <w:rPr>
          <w:noProof/>
          <w:sz w:val="24"/>
          <w:szCs w:val="24"/>
          <w:lang w:val="ru-RU" w:eastAsia="ru-RU"/>
        </w:rPr>
        <w:t xml:space="preserve">                            </w:t>
      </w:r>
      <w:r w:rsidR="003D4C78" w:rsidRPr="005767AA">
        <w:rPr>
          <w:noProof/>
          <w:sz w:val="24"/>
          <w:szCs w:val="24"/>
          <w:lang w:val="ru-RU" w:eastAsia="ru-RU"/>
        </w:rPr>
        <w:t>ЗАТВЕРДЖЕНО</w:t>
      </w:r>
    </w:p>
    <w:p w:rsidR="005767AA" w:rsidRPr="005767AA" w:rsidRDefault="005767AA" w:rsidP="005767AA">
      <w:pPr>
        <w:jc w:val="center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                                 </w:t>
      </w:r>
      <w:r w:rsidR="004C1708">
        <w:rPr>
          <w:noProof/>
          <w:sz w:val="24"/>
          <w:szCs w:val="24"/>
          <w:lang w:val="ru-RU" w:eastAsia="ru-RU"/>
        </w:rPr>
        <w:t xml:space="preserve">                                                                              р</w:t>
      </w:r>
      <w:r w:rsidRPr="005767AA">
        <w:rPr>
          <w:noProof/>
          <w:sz w:val="24"/>
          <w:szCs w:val="24"/>
          <w:lang w:val="ru-RU" w:eastAsia="ru-RU"/>
        </w:rPr>
        <w:t>ішенням виконавчого комітету</w:t>
      </w:r>
    </w:p>
    <w:p w:rsidR="005767AA" w:rsidRDefault="004C1708" w:rsidP="004C1708">
      <w:pPr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5767AA" w:rsidRPr="005767AA">
        <w:rPr>
          <w:noProof/>
          <w:sz w:val="24"/>
          <w:szCs w:val="24"/>
          <w:lang w:val="ru-RU" w:eastAsia="ru-RU"/>
        </w:rPr>
        <w:t>Новоград-Волинської міської ради</w:t>
      </w:r>
    </w:p>
    <w:p w:rsidR="005767AA" w:rsidRPr="005767AA" w:rsidRDefault="005767AA" w:rsidP="005767AA">
      <w:pPr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4C1708">
        <w:rPr>
          <w:noProof/>
          <w:sz w:val="24"/>
          <w:szCs w:val="24"/>
          <w:lang w:val="ru-RU" w:eastAsia="ru-RU"/>
        </w:rPr>
        <w:t>в</w:t>
      </w:r>
      <w:r>
        <w:rPr>
          <w:noProof/>
          <w:sz w:val="24"/>
          <w:szCs w:val="24"/>
          <w:lang w:val="ru-RU" w:eastAsia="ru-RU"/>
        </w:rPr>
        <w:t xml:space="preserve">ід                         №                </w:t>
      </w:r>
    </w:p>
    <w:p w:rsidR="008E4CEA" w:rsidRDefault="00EB19CE">
      <w:pPr>
        <w:pStyle w:val="a3"/>
        <w:spacing w:before="89" w:line="298" w:lineRule="exact"/>
        <w:ind w:left="442" w:right="330"/>
        <w:jc w:val="center"/>
      </w:pPr>
      <w:r>
        <w:t>ІНФОРМАЦІЙНА КАРТКА</w:t>
      </w:r>
    </w:p>
    <w:p w:rsidR="00766A3D" w:rsidRDefault="00766A3D" w:rsidP="00766A3D">
      <w:pPr>
        <w:pStyle w:val="a3"/>
        <w:spacing w:before="89" w:line="298" w:lineRule="exact"/>
        <w:ind w:left="442" w:right="330"/>
        <w:jc w:val="center"/>
      </w:pPr>
      <w: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 та релігійної організації)</w:t>
      </w:r>
    </w:p>
    <w:p w:rsidR="00766A3D" w:rsidRDefault="00766A3D" w:rsidP="00766A3D">
      <w:pPr>
        <w:pStyle w:val="a3"/>
        <w:spacing w:before="89" w:line="298" w:lineRule="exact"/>
        <w:ind w:left="442" w:right="330"/>
        <w:jc w:val="center"/>
      </w:pPr>
    </w:p>
    <w:p w:rsidR="00766A3D" w:rsidRDefault="00766A3D" w:rsidP="00766A3D">
      <w:pPr>
        <w:pStyle w:val="a3"/>
        <w:spacing w:before="89" w:line="298" w:lineRule="exact"/>
        <w:ind w:left="442" w:right="330"/>
        <w:jc w:val="center"/>
      </w:pPr>
      <w:r>
        <w:t>Джерело: https://guide.diia.gov.ua/register/00094/</w:t>
      </w:r>
    </w:p>
    <w:p w:rsidR="00766A3D" w:rsidRDefault="00766A3D" w:rsidP="00766A3D">
      <w:pPr>
        <w:pStyle w:val="a3"/>
        <w:spacing w:before="89" w:line="298" w:lineRule="exact"/>
        <w:ind w:left="442" w:right="330"/>
        <w:jc w:val="center"/>
      </w:pPr>
      <w:r>
        <w:t xml:space="preserve">© </w:t>
      </w:r>
      <w:proofErr w:type="spellStart"/>
      <w:r>
        <w:t>Дiя</w:t>
      </w:r>
      <w:proofErr w:type="spellEnd"/>
    </w:p>
    <w:p w:rsidR="00766A3D" w:rsidRDefault="0073779A" w:rsidP="00766A3D">
      <w:pPr>
        <w:pStyle w:val="a3"/>
        <w:spacing w:before="89" w:line="298" w:lineRule="exact"/>
        <w:ind w:left="442" w:right="330"/>
      </w:pPr>
      <w:r>
        <w:t>№ послуги в ЦНАП за переліком -</w:t>
      </w:r>
      <w:r w:rsidR="00AF2049">
        <w:t xml:space="preserve">№ 37 </w:t>
      </w:r>
      <w:r w:rsidR="00766A3D">
        <w:t>Ідентифікатор послуги 0094</w:t>
      </w:r>
    </w:p>
    <w:p w:rsidR="008E4CEA" w:rsidRDefault="0051660A" w:rsidP="0051660A">
      <w:pPr>
        <w:pStyle w:val="a4"/>
        <w:ind w:right="325"/>
      </w:pPr>
      <w:r>
        <w:t xml:space="preserve">Відділ державної реєстрації ЦНАП </w:t>
      </w:r>
      <w:r w:rsidR="00EB19CE">
        <w:t>міської ради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905"/>
        <w:gridCol w:w="6955"/>
      </w:tblGrid>
      <w:tr w:rsidR="008E4CEA" w:rsidTr="0051660A">
        <w:trPr>
          <w:trHeight w:val="671"/>
        </w:trPr>
        <w:tc>
          <w:tcPr>
            <w:tcW w:w="10360" w:type="dxa"/>
            <w:gridSpan w:val="3"/>
            <w:shd w:val="clear" w:color="auto" w:fill="auto"/>
          </w:tcPr>
          <w:p w:rsidR="008E4CEA" w:rsidRDefault="00EB19CE">
            <w:pPr>
              <w:pStyle w:val="TableParagraph"/>
              <w:spacing w:before="56"/>
              <w:ind w:left="2559" w:right="1899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8E4CEA">
        <w:trPr>
          <w:trHeight w:val="395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955" w:type="dxa"/>
          </w:tcPr>
          <w:p w:rsidR="008E4CEA" w:rsidRDefault="005166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11700, м. Новоград-Волинський, вулиця Соборності</w:t>
            </w:r>
            <w:r w:rsidR="00EB19CE">
              <w:rPr>
                <w:sz w:val="24"/>
              </w:rPr>
              <w:t xml:space="preserve">, </w:t>
            </w:r>
            <w:r>
              <w:rPr>
                <w:sz w:val="24"/>
              </w:rPr>
              <w:t>13</w:t>
            </w:r>
          </w:p>
        </w:tc>
      </w:tr>
      <w:tr w:rsidR="008E4CEA">
        <w:trPr>
          <w:trHeight w:val="1224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Інформація щодо режиму роботи</w:t>
            </w:r>
          </w:p>
        </w:tc>
        <w:tc>
          <w:tcPr>
            <w:tcW w:w="6955" w:type="dxa"/>
          </w:tcPr>
          <w:p w:rsidR="008E4CEA" w:rsidRDefault="0051660A" w:rsidP="0051660A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Понеділок-четвер: 8.00-17.15</w:t>
            </w:r>
          </w:p>
          <w:p w:rsidR="0051660A" w:rsidRDefault="0051660A">
            <w:pPr>
              <w:pStyle w:val="TableParagraph"/>
              <w:spacing w:before="0"/>
              <w:ind w:left="66" w:right="1889"/>
              <w:rPr>
                <w:sz w:val="24"/>
              </w:rPr>
            </w:pPr>
            <w:r>
              <w:rPr>
                <w:sz w:val="24"/>
              </w:rPr>
              <w:t>П’ятниця: з 8</w:t>
            </w:r>
            <w:r w:rsidR="00EB19CE">
              <w:rPr>
                <w:sz w:val="24"/>
              </w:rPr>
              <w:t xml:space="preserve">.00 </w:t>
            </w:r>
            <w:r>
              <w:rPr>
                <w:sz w:val="24"/>
              </w:rPr>
              <w:t>до 16.00</w:t>
            </w:r>
          </w:p>
          <w:p w:rsidR="003D4C78" w:rsidRDefault="003D4C78">
            <w:pPr>
              <w:pStyle w:val="TableParagraph"/>
              <w:spacing w:before="0"/>
              <w:ind w:left="66" w:right="1889"/>
              <w:rPr>
                <w:sz w:val="24"/>
              </w:rPr>
            </w:pPr>
            <w:r>
              <w:rPr>
                <w:sz w:val="24"/>
              </w:rPr>
              <w:t>Субота з 9.00 до 14.00</w:t>
            </w:r>
          </w:p>
          <w:p w:rsidR="008E4CEA" w:rsidRDefault="008E4CEA">
            <w:pPr>
              <w:pStyle w:val="TableParagraph"/>
              <w:spacing w:before="0"/>
              <w:ind w:left="66" w:right="1889"/>
              <w:rPr>
                <w:sz w:val="24"/>
              </w:rPr>
            </w:pPr>
          </w:p>
        </w:tc>
      </w:tr>
      <w:tr w:rsidR="008E4CEA">
        <w:trPr>
          <w:trHeight w:val="1489"/>
        </w:trPr>
        <w:tc>
          <w:tcPr>
            <w:tcW w:w="500" w:type="dxa"/>
          </w:tcPr>
          <w:p w:rsidR="008E4CEA" w:rsidRDefault="00EB19CE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05" w:type="dxa"/>
          </w:tcPr>
          <w:p w:rsidR="008E4CEA" w:rsidRDefault="0051660A">
            <w:pPr>
              <w:pStyle w:val="TableParagraph"/>
              <w:spacing w:before="54"/>
              <w:ind w:left="59" w:right="45"/>
              <w:jc w:val="both"/>
              <w:rPr>
                <w:sz w:val="24"/>
              </w:rPr>
            </w:pPr>
            <w:r>
              <w:rPr>
                <w:sz w:val="24"/>
              </w:rPr>
              <w:t>Телефон,</w:t>
            </w:r>
            <w:r w:rsidR="00EB19CE">
              <w:rPr>
                <w:sz w:val="24"/>
              </w:rPr>
              <w:t xml:space="preserve">адреса електронної пошти </w:t>
            </w:r>
          </w:p>
        </w:tc>
        <w:tc>
          <w:tcPr>
            <w:tcW w:w="6955" w:type="dxa"/>
          </w:tcPr>
          <w:p w:rsidR="00E7232B" w:rsidRDefault="00E7232B" w:rsidP="00E723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E7232B" w:rsidRDefault="00E7232B" w:rsidP="00E7232B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E7232B" w:rsidRDefault="00E7232B" w:rsidP="00E7232B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8E4CEA" w:rsidRPr="0051660A" w:rsidRDefault="008E4CEA" w:rsidP="00E7232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E4CEA" w:rsidTr="0051660A">
        <w:trPr>
          <w:trHeight w:val="395"/>
        </w:trPr>
        <w:tc>
          <w:tcPr>
            <w:tcW w:w="10360" w:type="dxa"/>
            <w:gridSpan w:val="3"/>
            <w:shd w:val="clear" w:color="auto" w:fill="auto"/>
          </w:tcPr>
          <w:p w:rsidR="008E4CEA" w:rsidRDefault="00EB19CE">
            <w:pPr>
              <w:pStyle w:val="TableParagraph"/>
              <w:spacing w:before="56"/>
              <w:ind w:left="960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E4CEA">
        <w:trPr>
          <w:trHeight w:val="671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ind w:firstLine="216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E4CEA">
        <w:trPr>
          <w:trHeight w:val="674"/>
        </w:trPr>
        <w:tc>
          <w:tcPr>
            <w:tcW w:w="500" w:type="dxa"/>
          </w:tcPr>
          <w:p w:rsidR="008E4CEA" w:rsidRDefault="00EB19CE">
            <w:pPr>
              <w:pStyle w:val="TableParagraph"/>
              <w:spacing w:before="54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spacing w:before="54"/>
              <w:ind w:left="59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spacing w:before="54"/>
              <w:ind w:left="272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8E4CEA">
        <w:trPr>
          <w:trHeight w:val="3155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 w:right="113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</w:t>
            </w:r>
          </w:p>
          <w:p w:rsidR="008E4CEA" w:rsidRDefault="00EB19CE">
            <w:pPr>
              <w:pStyle w:val="TableParagraph"/>
              <w:spacing w:before="0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8E4CEA" w:rsidRDefault="00EB19CE">
            <w:pPr>
              <w:pStyle w:val="TableParagraph"/>
              <w:spacing w:before="0"/>
              <w:ind w:left="272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</w:t>
            </w:r>
          </w:p>
          <w:p w:rsidR="008E4CEA" w:rsidRDefault="00EB19CE">
            <w:pPr>
              <w:pStyle w:val="TableParagraph"/>
              <w:spacing w:before="0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427/28557</w:t>
            </w:r>
          </w:p>
        </w:tc>
      </w:tr>
      <w:tr w:rsidR="008E4CEA" w:rsidTr="0051660A">
        <w:trPr>
          <w:trHeight w:val="396"/>
        </w:trPr>
        <w:tc>
          <w:tcPr>
            <w:tcW w:w="10360" w:type="dxa"/>
            <w:gridSpan w:val="3"/>
            <w:shd w:val="clear" w:color="auto" w:fill="auto"/>
          </w:tcPr>
          <w:p w:rsidR="008E4CEA" w:rsidRDefault="00EB19CE">
            <w:pPr>
              <w:pStyle w:val="TableParagraph"/>
              <w:spacing w:before="56"/>
              <w:ind w:left="2736" w:right="2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8E4CEA">
        <w:trPr>
          <w:trHeight w:val="671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 w:right="187"/>
              <w:rPr>
                <w:sz w:val="24"/>
              </w:rPr>
            </w:pPr>
            <w:r>
              <w:rPr>
                <w:sz w:val="24"/>
              </w:rPr>
              <w:t>Підстава для отримання адміністративної послуги</w:t>
            </w:r>
          </w:p>
        </w:tc>
        <w:tc>
          <w:tcPr>
            <w:tcW w:w="6955" w:type="dxa"/>
          </w:tcPr>
          <w:p w:rsidR="008E4CEA" w:rsidRDefault="00EB19CE" w:rsidP="00497658">
            <w:pPr>
              <w:pStyle w:val="TableParagraph"/>
              <w:keepNext/>
              <w:keepLines/>
              <w:pageBreakBefore/>
              <w:widowControl/>
              <w:tabs>
                <w:tab w:val="left" w:pos="5020"/>
              </w:tabs>
              <w:ind w:left="57" w:right="57" w:firstLine="215"/>
              <w:rPr>
                <w:sz w:val="24"/>
              </w:rPr>
            </w:pPr>
            <w:r>
              <w:rPr>
                <w:sz w:val="24"/>
              </w:rPr>
              <w:t xml:space="preserve">Звернення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уповноваженого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представника</w:t>
            </w:r>
            <w:r>
              <w:rPr>
                <w:sz w:val="24"/>
              </w:rPr>
              <w:tab/>
              <w:t xml:space="preserve">юридичної </w:t>
            </w:r>
            <w:r>
              <w:rPr>
                <w:spacing w:val="-4"/>
                <w:sz w:val="24"/>
              </w:rPr>
              <w:t xml:space="preserve">особи </w:t>
            </w:r>
            <w:r>
              <w:rPr>
                <w:sz w:val="24"/>
              </w:rPr>
              <w:t>(далі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заявник)</w:t>
            </w:r>
          </w:p>
        </w:tc>
      </w:tr>
    </w:tbl>
    <w:p w:rsidR="00682D13" w:rsidRDefault="00682D13"/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905"/>
        <w:gridCol w:w="6955"/>
      </w:tblGrid>
      <w:tr w:rsidR="008E4CEA" w:rsidTr="00CF203F">
        <w:trPr>
          <w:cantSplit/>
          <w:trHeight w:val="2053"/>
        </w:trPr>
        <w:tc>
          <w:tcPr>
            <w:tcW w:w="500" w:type="dxa"/>
          </w:tcPr>
          <w:p w:rsidR="008E4CEA" w:rsidRDefault="00EB19CE">
            <w:pPr>
              <w:pStyle w:val="TableParagraph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8E4CEA" w:rsidRDefault="00EB19CE">
            <w:pPr>
              <w:pStyle w:val="TableParagraph"/>
              <w:spacing w:before="0"/>
              <w:ind w:left="59" w:right="377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8E4CEA" w:rsidRDefault="0073779A" w:rsidP="0073779A">
            <w:pPr>
              <w:pStyle w:val="TableParagraph"/>
              <w:spacing w:before="0"/>
              <w:ind w:left="59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r w:rsidR="00EB19CE">
              <w:rPr>
                <w:sz w:val="24"/>
              </w:rPr>
              <w:t>дміністративнї</w:t>
            </w:r>
            <w:proofErr w:type="spellEnd"/>
            <w:r w:rsidR="00EB19CE">
              <w:rPr>
                <w:sz w:val="24"/>
              </w:rPr>
              <w:t xml:space="preserve"> послуги</w:t>
            </w:r>
          </w:p>
        </w:tc>
        <w:tc>
          <w:tcPr>
            <w:tcW w:w="6955" w:type="dxa"/>
          </w:tcPr>
          <w:p w:rsidR="00682D13" w:rsidRDefault="00EB19CE" w:rsidP="00682D13">
            <w:pPr>
              <w:pStyle w:val="TableParagraph"/>
              <w:ind w:right="45" w:hanging="51"/>
              <w:jc w:val="both"/>
              <w:rPr>
                <w:sz w:val="24"/>
              </w:rPr>
            </w:pPr>
            <w:r>
              <w:rPr>
                <w:sz w:val="24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зміни;</w:t>
            </w:r>
            <w:r w:rsidR="00682D13">
              <w:rPr>
                <w:sz w:val="24"/>
              </w:rPr>
              <w:br/>
            </w: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  <w:r w:rsidR="00682D13">
              <w:rPr>
                <w:sz w:val="24"/>
              </w:rPr>
              <w:br/>
            </w:r>
            <w:r>
              <w:rPr>
                <w:sz w:val="24"/>
              </w:rPr>
              <w:t>У разі подання документів представником додатково подається</w:t>
            </w:r>
            <w:r w:rsidR="00682D13">
              <w:rPr>
                <w:sz w:val="24"/>
              </w:rPr>
              <w:t xml:space="preserve">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682D13" w:rsidRDefault="00682D13" w:rsidP="00682D13">
            <w:pPr>
              <w:pStyle w:val="TableParagraph"/>
              <w:widowControl/>
              <w:spacing w:before="0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  <w:p w:rsidR="008E4CEA" w:rsidRPr="00CF203F" w:rsidRDefault="008E4CEA" w:rsidP="00CF203F">
            <w:pPr>
              <w:tabs>
                <w:tab w:val="left" w:pos="1395"/>
              </w:tabs>
            </w:pPr>
          </w:p>
        </w:tc>
      </w:tr>
      <w:tr w:rsidR="008E4CEA">
        <w:trPr>
          <w:trHeight w:val="1223"/>
        </w:trPr>
        <w:tc>
          <w:tcPr>
            <w:tcW w:w="500" w:type="dxa"/>
          </w:tcPr>
          <w:p w:rsidR="008E4CEA" w:rsidRDefault="00EB19C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Спосіб подання</w:t>
            </w:r>
          </w:p>
          <w:p w:rsidR="008E4CEA" w:rsidRDefault="00EB19CE">
            <w:pPr>
              <w:pStyle w:val="TableParagraph"/>
              <w:spacing w:before="0"/>
              <w:ind w:left="59" w:right="377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</w:t>
            </w:r>
          </w:p>
          <w:p w:rsidR="008E4CEA" w:rsidRDefault="00EB19CE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ind w:right="51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8E4CEA" w:rsidRDefault="00EB19CE">
            <w:pPr>
              <w:pStyle w:val="TableParagraph"/>
              <w:numPr>
                <w:ilvl w:val="0"/>
                <w:numId w:val="1"/>
              </w:numPr>
              <w:tabs>
                <w:tab w:val="left" w:pos="592"/>
              </w:tabs>
              <w:spacing w:before="0"/>
              <w:ind w:right="52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сервісів*</w:t>
            </w:r>
          </w:p>
        </w:tc>
      </w:tr>
      <w:tr w:rsidR="008E4CEA">
        <w:trPr>
          <w:trHeight w:val="947"/>
        </w:trPr>
        <w:tc>
          <w:tcPr>
            <w:tcW w:w="500" w:type="dxa"/>
          </w:tcPr>
          <w:p w:rsidR="008E4CEA" w:rsidRDefault="00EB19C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 w:right="167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8E4CEA">
        <w:trPr>
          <w:trHeight w:val="2327"/>
        </w:trPr>
        <w:tc>
          <w:tcPr>
            <w:tcW w:w="500" w:type="dxa"/>
          </w:tcPr>
          <w:p w:rsidR="008E4CEA" w:rsidRDefault="00EB19C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8E4CEA" w:rsidRDefault="00EB19CE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8E4CEA" w:rsidRDefault="00EB19CE">
            <w:pPr>
              <w:pStyle w:val="TableParagraph"/>
              <w:spacing w:before="0"/>
              <w:ind w:right="56" w:firstLine="216"/>
              <w:jc w:val="both"/>
              <w:rPr>
                <w:sz w:val="24"/>
              </w:rPr>
            </w:pPr>
            <w:r>
              <w:rPr>
                <w:sz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8E4CEA" w:rsidRDefault="00EB19CE">
            <w:pPr>
              <w:pStyle w:val="TableParagraph"/>
              <w:spacing w:before="0"/>
              <w:ind w:right="55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8E4CEA">
        <w:trPr>
          <w:trHeight w:val="4535"/>
        </w:trPr>
        <w:tc>
          <w:tcPr>
            <w:tcW w:w="500" w:type="dxa"/>
          </w:tcPr>
          <w:p w:rsidR="008E4CEA" w:rsidRDefault="00EB19CE">
            <w:pPr>
              <w:pStyle w:val="TableParagraph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ind w:left="59" w:right="771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8E4CEA" w:rsidRDefault="00EB19CE">
            <w:pPr>
              <w:pStyle w:val="TableParagraph"/>
              <w:spacing w:before="0"/>
              <w:ind w:left="59" w:right="274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8E4CEA" w:rsidRDefault="00EB19CE">
            <w:pPr>
              <w:pStyle w:val="TableParagraph"/>
              <w:spacing w:before="0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8E4CEA" w:rsidRDefault="00EB19CE">
            <w:pPr>
              <w:pStyle w:val="TableParagraph"/>
              <w:spacing w:before="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8E4CEA" w:rsidRDefault="00EB19CE">
            <w:pPr>
              <w:pStyle w:val="TableParagraph"/>
              <w:spacing w:before="0"/>
              <w:ind w:right="53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8E4CEA">
        <w:trPr>
          <w:trHeight w:val="3434"/>
        </w:trPr>
        <w:tc>
          <w:tcPr>
            <w:tcW w:w="500" w:type="dxa"/>
          </w:tcPr>
          <w:p w:rsidR="008E4CEA" w:rsidRDefault="00EB19CE">
            <w:pPr>
              <w:pStyle w:val="TableParagraph"/>
              <w:spacing w:before="54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905" w:type="dxa"/>
          </w:tcPr>
          <w:p w:rsidR="008E4CEA" w:rsidRDefault="00EB19CE">
            <w:pPr>
              <w:pStyle w:val="TableParagraph"/>
              <w:spacing w:before="54"/>
              <w:ind w:left="59" w:right="697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955" w:type="dxa"/>
          </w:tcPr>
          <w:p w:rsidR="008E4CEA" w:rsidRDefault="00EB19CE">
            <w:pPr>
              <w:pStyle w:val="TableParagraph"/>
              <w:spacing w:before="54"/>
              <w:ind w:left="272" w:right="587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 у Єдиному державному реєстрі юридичних осіб, фізичних</w:t>
            </w:r>
          </w:p>
          <w:p w:rsidR="008E4CEA" w:rsidRDefault="00EB19CE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8E4CEA" w:rsidRDefault="00EB19CE" w:rsidP="00682D13">
            <w:pPr>
              <w:pStyle w:val="TableParagraph"/>
              <w:tabs>
                <w:tab w:val="left" w:pos="1644"/>
                <w:tab w:val="left" w:pos="2590"/>
                <w:tab w:val="left" w:pos="3104"/>
                <w:tab w:val="left" w:pos="4706"/>
                <w:tab w:val="left" w:pos="5837"/>
              </w:tabs>
              <w:spacing w:before="0"/>
              <w:ind w:right="51" w:firstLine="216"/>
              <w:rPr>
                <w:sz w:val="24"/>
              </w:rPr>
            </w:pPr>
            <w:r>
              <w:rPr>
                <w:sz w:val="24"/>
              </w:rPr>
              <w:t>документи</w:t>
            </w:r>
            <w:r w:rsidR="00682D13">
              <w:rPr>
                <w:sz w:val="24"/>
              </w:rPr>
              <w:t xml:space="preserve"> </w:t>
            </w:r>
            <w:r>
              <w:rPr>
                <w:sz w:val="24"/>
              </w:rPr>
              <w:t>подані</w:t>
            </w:r>
            <w:r>
              <w:rPr>
                <w:sz w:val="24"/>
              </w:rPr>
              <w:tab/>
              <w:t>до</w:t>
            </w:r>
            <w:r>
              <w:rPr>
                <w:sz w:val="24"/>
              </w:rPr>
              <w:tab/>
              <w:t>неналежного</w:t>
            </w:r>
            <w:r>
              <w:rPr>
                <w:sz w:val="24"/>
              </w:rPr>
              <w:tab/>
              <w:t>суб’єкта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державної </w:t>
            </w:r>
            <w:r>
              <w:rPr>
                <w:sz w:val="24"/>
              </w:rPr>
              <w:t>реєстрації;</w:t>
            </w:r>
            <w:r w:rsidR="00682D13">
              <w:rPr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 w:rsidR="00682D13">
              <w:rPr>
                <w:sz w:val="24"/>
              </w:rPr>
              <w:t xml:space="preserve"> </w:t>
            </w:r>
            <w:r>
              <w:rPr>
                <w:sz w:val="24"/>
              </w:rPr>
              <w:t>усунуто</w:t>
            </w:r>
            <w:r>
              <w:rPr>
                <w:sz w:val="24"/>
              </w:rPr>
              <w:tab/>
              <w:t>підстави для зупинення розгляду документів протягом встановленого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строку;</w:t>
            </w:r>
          </w:p>
          <w:p w:rsidR="00682D13" w:rsidRDefault="00682D13" w:rsidP="00682D13">
            <w:pPr>
              <w:pStyle w:val="TableParagraph"/>
              <w:tabs>
                <w:tab w:val="left" w:pos="1644"/>
                <w:tab w:val="left" w:pos="2590"/>
                <w:tab w:val="left" w:pos="3104"/>
                <w:tab w:val="left" w:pos="4706"/>
                <w:tab w:val="left" w:pos="5837"/>
              </w:tabs>
              <w:spacing w:before="0"/>
              <w:ind w:right="51" w:firstLine="216"/>
              <w:rPr>
                <w:sz w:val="24"/>
              </w:rPr>
            </w:pPr>
          </w:p>
          <w:p w:rsidR="008E4CEA" w:rsidRDefault="00EB19CE" w:rsidP="00682D13">
            <w:pPr>
              <w:pStyle w:val="TableParagraph"/>
              <w:spacing w:before="3" w:line="237" w:lineRule="auto"/>
              <w:ind w:left="0" w:right="54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України; невідповідність відомостей, зазначених  у документах,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поданих</w:t>
            </w:r>
            <w:r w:rsidR="00682D13">
              <w:rPr>
                <w:sz w:val="24"/>
              </w:rPr>
              <w:t xml:space="preserve"> </w:t>
            </w:r>
            <w:r>
              <w:rPr>
                <w:sz w:val="24"/>
              </w:rPr>
              <w:t>для державної реєстрації, відомостям, що містяться в Єдиному державному реєстрі юридичних осіб, фізичних осіб 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підприємців</w:t>
            </w:r>
            <w:r w:rsidR="00682D13">
              <w:rPr>
                <w:sz w:val="24"/>
              </w:rPr>
              <w:t xml:space="preserve">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682D13">
        <w:trPr>
          <w:trHeight w:val="3434"/>
        </w:trPr>
        <w:tc>
          <w:tcPr>
            <w:tcW w:w="500" w:type="dxa"/>
          </w:tcPr>
          <w:p w:rsidR="00682D13" w:rsidRDefault="00682D13">
            <w:pPr>
              <w:pStyle w:val="TableParagraph"/>
              <w:spacing w:before="54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05" w:type="dxa"/>
          </w:tcPr>
          <w:p w:rsidR="00682D13" w:rsidRDefault="00682D13" w:rsidP="00682D13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682D13" w:rsidRDefault="00682D13" w:rsidP="00682D13">
            <w:pPr>
              <w:pStyle w:val="TableParagraph"/>
              <w:spacing w:before="54"/>
              <w:ind w:left="59" w:right="697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955" w:type="dxa"/>
          </w:tcPr>
          <w:p w:rsidR="00682D13" w:rsidRDefault="00682D13" w:rsidP="00682D13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682D13" w:rsidRDefault="00682D13" w:rsidP="00682D13">
            <w:pPr>
              <w:pStyle w:val="TableParagraph"/>
              <w:spacing w:before="54"/>
              <w:ind w:left="272" w:right="587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82D13">
        <w:trPr>
          <w:trHeight w:val="3434"/>
        </w:trPr>
        <w:tc>
          <w:tcPr>
            <w:tcW w:w="500" w:type="dxa"/>
          </w:tcPr>
          <w:p w:rsidR="00682D13" w:rsidRDefault="00682D13">
            <w:pPr>
              <w:pStyle w:val="TableParagraph"/>
              <w:spacing w:before="54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05" w:type="dxa"/>
          </w:tcPr>
          <w:p w:rsidR="00682D13" w:rsidRDefault="00682D13" w:rsidP="00682D13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955" w:type="dxa"/>
          </w:tcPr>
          <w:p w:rsidR="00682D13" w:rsidRDefault="00682D13" w:rsidP="00C650E7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682D13" w:rsidRDefault="00682D13" w:rsidP="00C650E7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E4CEA" w:rsidRDefault="008E4CEA">
      <w:pPr>
        <w:rPr>
          <w:b/>
          <w:sz w:val="28"/>
        </w:rPr>
      </w:pPr>
    </w:p>
    <w:p w:rsidR="008E4CEA" w:rsidRDefault="008E4CEA">
      <w:pPr>
        <w:spacing w:before="5"/>
        <w:rPr>
          <w:b/>
          <w:sz w:val="5"/>
        </w:rPr>
      </w:pPr>
    </w:p>
    <w:p w:rsidR="008E4CEA" w:rsidRDefault="00766A3D">
      <w:pPr>
        <w:spacing w:line="20" w:lineRule="exact"/>
        <w:ind w:left="113"/>
        <w:rPr>
          <w:sz w:val="2"/>
        </w:rPr>
      </w:pPr>
      <w:r>
        <w:rPr>
          <w:noProof/>
          <w:sz w:val="2"/>
          <w:lang w:eastAsia="uk-UA"/>
        </w:rPr>
        <mc:AlternateContent>
          <mc:Choice Requires="wpg">
            <w:drawing>
              <wp:inline distT="0" distB="0" distL="0" distR="0">
                <wp:extent cx="457835" cy="1905"/>
                <wp:effectExtent l="5080" t="5080" r="13335" b="1206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835" cy="1905"/>
                          <a:chOff x="0" y="0"/>
                          <a:chExt cx="721" cy="3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E3566AD" id="Group 2" o:spid="_x0000_s1026" style="width:36.05pt;height:.15pt;mso-position-horizontal-relative:char;mso-position-vertical-relative:line" coordsize="72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">
                <v:line id="Line 3" o:spid="_x0000_s1027" style="position:absolute;visibility:visible;mso-wrap-style:square" from="0,1" to="720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" strokeweight=".12pt"/>
                <w10:anchorlock/>
              </v:group>
            </w:pict>
          </mc:Fallback>
        </mc:AlternateContent>
      </w:r>
    </w:p>
    <w:p w:rsidR="008E4CEA" w:rsidRDefault="00EB19CE">
      <w:pPr>
        <w:spacing w:line="145" w:lineRule="exact"/>
        <w:ind w:left="115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Default="00E37B17">
      <w:pPr>
        <w:spacing w:line="145" w:lineRule="exact"/>
        <w:ind w:left="115"/>
        <w:rPr>
          <w:sz w:val="14"/>
        </w:rPr>
      </w:pPr>
    </w:p>
    <w:p w:rsidR="00E37B17" w:rsidRPr="00112E92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>ТЕХНОЛОГІЧНА КАРТКА</w:t>
      </w:r>
    </w:p>
    <w:p w:rsidR="00E37B17" w:rsidRPr="00112E92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2E92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0979">
        <w:rPr>
          <w:b/>
          <w:sz w:val="24"/>
          <w:szCs w:val="24"/>
          <w:lang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 та релігійної організації)</w:t>
      </w:r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0979">
        <w:rPr>
          <w:b/>
          <w:sz w:val="24"/>
          <w:szCs w:val="24"/>
          <w:lang w:eastAsia="uk-UA"/>
        </w:rPr>
        <w:t>Джерело: https://guide.diia.gov.ua/register/00094/</w:t>
      </w:r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0979">
        <w:rPr>
          <w:b/>
          <w:sz w:val="24"/>
          <w:szCs w:val="24"/>
          <w:lang w:eastAsia="uk-UA"/>
        </w:rPr>
        <w:t xml:space="preserve">© </w:t>
      </w:r>
      <w:proofErr w:type="spellStart"/>
      <w:r w:rsidRPr="00110979">
        <w:rPr>
          <w:b/>
          <w:sz w:val="24"/>
          <w:szCs w:val="24"/>
          <w:lang w:eastAsia="uk-UA"/>
        </w:rPr>
        <w:t>Дiя</w:t>
      </w:r>
      <w:proofErr w:type="spellEnd"/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0979">
        <w:rPr>
          <w:b/>
          <w:sz w:val="24"/>
          <w:szCs w:val="24"/>
          <w:lang w:eastAsia="uk-UA"/>
        </w:rPr>
        <w:t>Ідентифікатор послуги 0094</w:t>
      </w:r>
    </w:p>
    <w:p w:rsidR="00E37B17" w:rsidRPr="00110979" w:rsidRDefault="00E37B17" w:rsidP="00E37B17">
      <w:pPr>
        <w:jc w:val="center"/>
        <w:rPr>
          <w:b/>
          <w:sz w:val="24"/>
          <w:szCs w:val="24"/>
          <w:lang w:eastAsia="uk-UA"/>
        </w:rPr>
      </w:pPr>
      <w:r w:rsidRPr="00110979">
        <w:rPr>
          <w:b/>
          <w:sz w:val="24"/>
          <w:szCs w:val="24"/>
          <w:lang w:eastAsia="uk-UA"/>
        </w:rPr>
        <w:t>Відділ державної реєстрації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2"/>
        <w:gridCol w:w="3361"/>
        <w:gridCol w:w="2446"/>
        <w:gridCol w:w="2446"/>
        <w:gridCol w:w="1955"/>
      </w:tblGrid>
      <w:tr w:rsidR="00E37B17" w:rsidRPr="00112E92" w:rsidTr="008C4553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112E92">
              <w:rPr>
                <w:b/>
                <w:sz w:val="24"/>
                <w:szCs w:val="24"/>
                <w:lang w:eastAsia="uk-UA"/>
              </w:rPr>
              <w:t>№</w:t>
            </w:r>
          </w:p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112E92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E37B17" w:rsidRPr="00112E92" w:rsidTr="008C4553">
        <w:trPr>
          <w:trHeight w:val="61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E37B17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Default="00E37B17" w:rsidP="008C4553">
            <w:pPr>
              <w:rPr>
                <w:b/>
                <w:sz w:val="24"/>
                <w:szCs w:val="24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>
              <w:rPr>
                <w:b/>
                <w:sz w:val="24"/>
                <w:szCs w:val="24"/>
              </w:rPr>
              <w:t>зміни складу комісії з припинення (комісії</w:t>
            </w:r>
          </w:p>
          <w:p w:rsidR="00E37B17" w:rsidRPr="00112E92" w:rsidRDefault="00E37B17" w:rsidP="008C45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 реорганізації, ліквідаційної комісії) юридичної особи </w:t>
            </w:r>
          </w:p>
          <w:p w:rsidR="00E37B17" w:rsidRPr="00112E92" w:rsidRDefault="00E37B17" w:rsidP="008C4553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FF3D4F" w:rsidRDefault="00E37B17" w:rsidP="008C4553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37B17" w:rsidRPr="00112E92" w:rsidTr="008C4553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E37B17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FF3D4F" w:rsidRDefault="00E37B17" w:rsidP="008C4553">
            <w:pPr>
              <w:rPr>
                <w:b/>
                <w:sz w:val="24"/>
                <w:szCs w:val="24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</w:t>
            </w:r>
            <w:r>
              <w:rPr>
                <w:b/>
                <w:sz w:val="24"/>
                <w:szCs w:val="24"/>
                <w:lang w:eastAsia="uk-UA"/>
              </w:rPr>
              <w:t>бо уповноваженій ним особі примірника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 реєстрації </w:t>
            </w:r>
            <w:r>
              <w:rPr>
                <w:b/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з відміткою про дату надходження документів для проведення державної реєстрації </w:t>
            </w:r>
            <w:r>
              <w:rPr>
                <w:b/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37B17" w:rsidRPr="00112E92" w:rsidTr="008C4553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E37B17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</w:t>
            </w:r>
            <w:r>
              <w:rPr>
                <w:sz w:val="24"/>
                <w:szCs w:val="24"/>
                <w:lang w:eastAsia="uk-UA"/>
              </w:rPr>
              <w:t>фізичних осіб – підприємців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37B17" w:rsidRPr="00112E92" w:rsidTr="008C4553">
        <w:trPr>
          <w:trHeight w:val="5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FF3D4F" w:rsidRDefault="00E37B17" w:rsidP="008C4553">
            <w:pPr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37B17" w:rsidRPr="00112E92" w:rsidTr="008C4553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0979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0979">
              <w:rPr>
                <w:sz w:val="24"/>
                <w:szCs w:val="24"/>
              </w:rPr>
              <w:t>Державний реєстратор юридичних осіб, фізичних осіб – підприємців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E37B17" w:rsidRPr="00112E92" w:rsidTr="008C4553">
        <w:trPr>
          <w:trHeight w:val="155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uk-UA"/>
              </w:rPr>
              <w:t>Опрацювання документів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про державну </w:t>
            </w:r>
            <w:r>
              <w:rPr>
                <w:b/>
                <w:sz w:val="24"/>
                <w:szCs w:val="24"/>
                <w:lang w:eastAsia="uk-UA"/>
              </w:rPr>
              <w:t>реєстрацію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sz w:val="24"/>
                <w:szCs w:val="24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</w:t>
            </w:r>
            <w:r>
              <w:rPr>
                <w:b/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E37B17" w:rsidRPr="00112E92" w:rsidRDefault="00E37B17" w:rsidP="008C45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uk-UA"/>
              </w:rPr>
              <w:t>на підставі документів</w:t>
            </w:r>
            <w:r w:rsidRPr="00112E92">
              <w:rPr>
                <w:b/>
                <w:sz w:val="24"/>
                <w:szCs w:val="24"/>
                <w:lang w:eastAsia="uk-UA"/>
              </w:rPr>
              <w:t xml:space="preserve">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37B17" w:rsidRPr="00112E92" w:rsidTr="008C4553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E37B17" w:rsidRPr="00112E92" w:rsidTr="008C4553">
        <w:trPr>
          <w:trHeight w:val="688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rPr>
                <w:b/>
                <w:sz w:val="24"/>
                <w:szCs w:val="24"/>
              </w:rPr>
            </w:pPr>
            <w:r w:rsidRPr="00112E92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>
              <w:rPr>
                <w:b/>
                <w:sz w:val="24"/>
                <w:szCs w:val="24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E37B17" w:rsidRPr="00112E92" w:rsidRDefault="00E37B17" w:rsidP="008C4553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37B17" w:rsidRPr="00112E92" w:rsidRDefault="00E37B17" w:rsidP="008C45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12E92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E37B17" w:rsidRPr="00112E92" w:rsidRDefault="00E37B17" w:rsidP="008C4553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112E92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E37B17" w:rsidRPr="00112E92" w:rsidRDefault="00E37B17" w:rsidP="00E37B17">
      <w:pPr>
        <w:rPr>
          <w:sz w:val="24"/>
          <w:szCs w:val="24"/>
        </w:rPr>
      </w:pPr>
      <w:bookmarkStart w:id="1" w:name="n29"/>
      <w:bookmarkEnd w:id="1"/>
    </w:p>
    <w:p w:rsidR="00E37B17" w:rsidRPr="00112E92" w:rsidRDefault="00E37B17" w:rsidP="00E37B17">
      <w:pPr>
        <w:rPr>
          <w:b/>
          <w:sz w:val="24"/>
          <w:szCs w:val="24"/>
        </w:rPr>
      </w:pPr>
      <w:r w:rsidRPr="00112E92">
        <w:rPr>
          <w:b/>
          <w:sz w:val="24"/>
          <w:szCs w:val="24"/>
        </w:rPr>
        <w:t xml:space="preserve">      </w:t>
      </w:r>
    </w:p>
    <w:p w:rsidR="00422472" w:rsidRDefault="00422472" w:rsidP="00422472">
      <w:pPr>
        <w:ind w:hanging="142"/>
        <w:rPr>
          <w:sz w:val="24"/>
          <w:szCs w:val="24"/>
        </w:rPr>
      </w:pPr>
    </w:p>
    <w:p w:rsidR="00422472" w:rsidRDefault="00422472" w:rsidP="00422472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422472" w:rsidRDefault="00422472" w:rsidP="00422472">
      <w:pPr>
        <w:ind w:hanging="142"/>
        <w:rPr>
          <w:sz w:val="28"/>
          <w:szCs w:val="28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  <w:bookmarkStart w:id="2" w:name="_GoBack"/>
      <w:bookmarkEnd w:id="2"/>
    </w:p>
    <w:p w:rsidR="00E37B17" w:rsidRPr="00112E92" w:rsidRDefault="00E37B17" w:rsidP="00E37B17">
      <w:pPr>
        <w:rPr>
          <w:b/>
          <w:sz w:val="24"/>
          <w:szCs w:val="24"/>
        </w:rPr>
      </w:pPr>
    </w:p>
    <w:p w:rsidR="00E37B17" w:rsidRPr="00112E92" w:rsidRDefault="00E37B17" w:rsidP="00E37B17">
      <w:pPr>
        <w:ind w:firstLine="708"/>
        <w:rPr>
          <w:sz w:val="24"/>
          <w:szCs w:val="24"/>
        </w:rPr>
      </w:pPr>
      <w:r w:rsidRPr="00112E92">
        <w:rPr>
          <w:b/>
          <w:sz w:val="24"/>
          <w:szCs w:val="24"/>
        </w:rPr>
        <w:t xml:space="preserve"> </w:t>
      </w:r>
    </w:p>
    <w:p w:rsidR="00E37B17" w:rsidRDefault="00E37B17">
      <w:pPr>
        <w:spacing w:line="145" w:lineRule="exact"/>
        <w:ind w:left="115"/>
        <w:rPr>
          <w:sz w:val="14"/>
        </w:rPr>
      </w:pPr>
    </w:p>
    <w:sectPr w:rsidR="00E37B17" w:rsidSect="00497658">
      <w:headerReference w:type="default" r:id="rId8"/>
      <w:type w:val="continuous"/>
      <w:pgSz w:w="11910" w:h="16840" w:code="9"/>
      <w:pgMar w:top="540" w:right="280" w:bottom="280" w:left="1020" w:header="2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37C" w:rsidRDefault="002E737C" w:rsidP="008E4CEA">
      <w:r>
        <w:separator/>
      </w:r>
    </w:p>
  </w:endnote>
  <w:endnote w:type="continuationSeparator" w:id="0">
    <w:p w:rsidR="002E737C" w:rsidRDefault="002E737C" w:rsidP="008E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37C" w:rsidRDefault="002E737C" w:rsidP="008E4CEA">
      <w:r>
        <w:separator/>
      </w:r>
    </w:p>
  </w:footnote>
  <w:footnote w:type="continuationSeparator" w:id="0">
    <w:p w:rsidR="002E737C" w:rsidRDefault="002E737C" w:rsidP="008E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EA" w:rsidRDefault="00766A3D">
    <w:pPr>
      <w:pStyle w:val="a3"/>
      <w:spacing w:line="14" w:lineRule="auto"/>
      <w:rPr>
        <w:b w:val="0"/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3975735</wp:posOffset>
              </wp:positionH>
              <wp:positionV relativeFrom="page">
                <wp:posOffset>168275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4CEA" w:rsidRDefault="008E4CE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EB19CE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2472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05pt;margin-top:13.2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" filled="f" stroked="f">
              <v:textbox inset="0,0,0,0">
                <w:txbxContent>
                  <w:p w:rsidR="008E4CEA" w:rsidRDefault="008E4CE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EB19CE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22472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3207DE"/>
    <w:multiLevelType w:val="hybridMultilevel"/>
    <w:tmpl w:val="6EC29A72"/>
    <w:lvl w:ilvl="0" w:tplc="8F30AAD4">
      <w:start w:val="1"/>
      <w:numFmt w:val="decimal"/>
      <w:lvlText w:val="%1."/>
      <w:lvlJc w:val="left"/>
      <w:pPr>
        <w:ind w:left="5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38C471E">
      <w:numFmt w:val="bullet"/>
      <w:lvlText w:val="•"/>
      <w:lvlJc w:val="left"/>
      <w:pPr>
        <w:ind w:left="748" w:hanging="245"/>
      </w:pPr>
      <w:rPr>
        <w:rFonts w:hint="default"/>
        <w:lang w:val="uk-UA" w:eastAsia="en-US" w:bidi="ar-SA"/>
      </w:rPr>
    </w:lvl>
    <w:lvl w:ilvl="2" w:tplc="A5A6736E">
      <w:numFmt w:val="bullet"/>
      <w:lvlText w:val="•"/>
      <w:lvlJc w:val="left"/>
      <w:pPr>
        <w:ind w:left="1436" w:hanging="245"/>
      </w:pPr>
      <w:rPr>
        <w:rFonts w:hint="default"/>
        <w:lang w:val="uk-UA" w:eastAsia="en-US" w:bidi="ar-SA"/>
      </w:rPr>
    </w:lvl>
    <w:lvl w:ilvl="3" w:tplc="C4BA9C06">
      <w:numFmt w:val="bullet"/>
      <w:lvlText w:val="•"/>
      <w:lvlJc w:val="left"/>
      <w:pPr>
        <w:ind w:left="2124" w:hanging="245"/>
      </w:pPr>
      <w:rPr>
        <w:rFonts w:hint="default"/>
        <w:lang w:val="uk-UA" w:eastAsia="en-US" w:bidi="ar-SA"/>
      </w:rPr>
    </w:lvl>
    <w:lvl w:ilvl="4" w:tplc="F7E46E68">
      <w:numFmt w:val="bullet"/>
      <w:lvlText w:val="•"/>
      <w:lvlJc w:val="left"/>
      <w:pPr>
        <w:ind w:left="2812" w:hanging="245"/>
      </w:pPr>
      <w:rPr>
        <w:rFonts w:hint="default"/>
        <w:lang w:val="uk-UA" w:eastAsia="en-US" w:bidi="ar-SA"/>
      </w:rPr>
    </w:lvl>
    <w:lvl w:ilvl="5" w:tplc="2E96A6AA">
      <w:numFmt w:val="bullet"/>
      <w:lvlText w:val="•"/>
      <w:lvlJc w:val="left"/>
      <w:pPr>
        <w:ind w:left="3500" w:hanging="245"/>
      </w:pPr>
      <w:rPr>
        <w:rFonts w:hint="default"/>
        <w:lang w:val="uk-UA" w:eastAsia="en-US" w:bidi="ar-SA"/>
      </w:rPr>
    </w:lvl>
    <w:lvl w:ilvl="6" w:tplc="57D288CC">
      <w:numFmt w:val="bullet"/>
      <w:lvlText w:val="•"/>
      <w:lvlJc w:val="left"/>
      <w:pPr>
        <w:ind w:left="4188" w:hanging="245"/>
      </w:pPr>
      <w:rPr>
        <w:rFonts w:hint="default"/>
        <w:lang w:val="uk-UA" w:eastAsia="en-US" w:bidi="ar-SA"/>
      </w:rPr>
    </w:lvl>
    <w:lvl w:ilvl="7" w:tplc="5E44EE84">
      <w:numFmt w:val="bullet"/>
      <w:lvlText w:val="•"/>
      <w:lvlJc w:val="left"/>
      <w:pPr>
        <w:ind w:left="4876" w:hanging="245"/>
      </w:pPr>
      <w:rPr>
        <w:rFonts w:hint="default"/>
        <w:lang w:val="uk-UA" w:eastAsia="en-US" w:bidi="ar-SA"/>
      </w:rPr>
    </w:lvl>
    <w:lvl w:ilvl="8" w:tplc="F4586FFC">
      <w:numFmt w:val="bullet"/>
      <w:lvlText w:val="•"/>
      <w:lvlJc w:val="left"/>
      <w:pPr>
        <w:ind w:left="5564" w:hanging="245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EA"/>
    <w:rsid w:val="00131A01"/>
    <w:rsid w:val="002E737C"/>
    <w:rsid w:val="003D4C78"/>
    <w:rsid w:val="00422472"/>
    <w:rsid w:val="004907B6"/>
    <w:rsid w:val="00497658"/>
    <w:rsid w:val="004C1708"/>
    <w:rsid w:val="0051660A"/>
    <w:rsid w:val="005767AA"/>
    <w:rsid w:val="005E2705"/>
    <w:rsid w:val="00682D13"/>
    <w:rsid w:val="00701E4A"/>
    <w:rsid w:val="0073779A"/>
    <w:rsid w:val="007455BD"/>
    <w:rsid w:val="00766A3D"/>
    <w:rsid w:val="0082086C"/>
    <w:rsid w:val="008E4CEA"/>
    <w:rsid w:val="008E72A0"/>
    <w:rsid w:val="00AF2049"/>
    <w:rsid w:val="00C650E7"/>
    <w:rsid w:val="00CF203F"/>
    <w:rsid w:val="00E37B17"/>
    <w:rsid w:val="00E7232B"/>
    <w:rsid w:val="00E8753D"/>
    <w:rsid w:val="00E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765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4C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4CEA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8E4CEA"/>
    <w:pPr>
      <w:ind w:left="442" w:right="20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E4CEA"/>
  </w:style>
  <w:style w:type="paragraph" w:customStyle="1" w:styleId="TableParagraph">
    <w:name w:val="Table Paragraph"/>
    <w:basedOn w:val="a"/>
    <w:uiPriority w:val="1"/>
    <w:qFormat/>
    <w:rsid w:val="008E4CEA"/>
    <w:pPr>
      <w:spacing w:before="51"/>
      <w:ind w:left="56"/>
    </w:pPr>
  </w:style>
  <w:style w:type="paragraph" w:styleId="a6">
    <w:name w:val="Balloon Text"/>
    <w:basedOn w:val="a"/>
    <w:link w:val="a7"/>
    <w:uiPriority w:val="99"/>
    <w:semiHidden/>
    <w:unhideWhenUsed/>
    <w:rsid w:val="00516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60A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E37B17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765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4C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4CEA"/>
    <w:rPr>
      <w:b/>
      <w:bCs/>
      <w:sz w:val="26"/>
      <w:szCs w:val="26"/>
    </w:rPr>
  </w:style>
  <w:style w:type="paragraph" w:styleId="a4">
    <w:name w:val="Title"/>
    <w:basedOn w:val="a"/>
    <w:uiPriority w:val="1"/>
    <w:qFormat/>
    <w:rsid w:val="008E4CEA"/>
    <w:pPr>
      <w:ind w:left="442" w:right="20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E4CEA"/>
  </w:style>
  <w:style w:type="paragraph" w:customStyle="1" w:styleId="TableParagraph">
    <w:name w:val="Table Paragraph"/>
    <w:basedOn w:val="a"/>
    <w:uiPriority w:val="1"/>
    <w:qFormat/>
    <w:rsid w:val="008E4CEA"/>
    <w:pPr>
      <w:spacing w:before="51"/>
      <w:ind w:left="56"/>
    </w:pPr>
  </w:style>
  <w:style w:type="paragraph" w:styleId="a6">
    <w:name w:val="Balloon Text"/>
    <w:basedOn w:val="a"/>
    <w:link w:val="a7"/>
    <w:uiPriority w:val="99"/>
    <w:semiHidden/>
    <w:unhideWhenUsed/>
    <w:rsid w:val="00516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60A"/>
    <w:rPr>
      <w:rFonts w:ascii="Tahoma" w:eastAsia="Times New Roman" w:hAnsi="Tahoma" w:cs="Tahoma"/>
      <w:sz w:val="16"/>
      <w:szCs w:val="16"/>
      <w:lang w:val="uk-UA"/>
    </w:rPr>
  </w:style>
  <w:style w:type="paragraph" w:customStyle="1" w:styleId="1">
    <w:name w:val="Абзац списка1"/>
    <w:basedOn w:val="a"/>
    <w:rsid w:val="00E37B17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6812</Words>
  <Characters>3884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2021-01-11T08:32:00Z</cp:lastPrinted>
  <dcterms:created xsi:type="dcterms:W3CDTF">2021-11-10T21:04:00Z</dcterms:created>
  <dcterms:modified xsi:type="dcterms:W3CDTF">2021-11-10T21:04:00Z</dcterms:modified>
</cp:coreProperties>
</file>