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5E" w:rsidRPr="00ED7DDD" w:rsidRDefault="0030175E" w:rsidP="0030175E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175E" w:rsidRPr="00ED7DDD" w:rsidRDefault="0030175E" w:rsidP="0030175E">
      <w:pPr>
        <w:tabs>
          <w:tab w:val="center" w:pos="4950"/>
          <w:tab w:val="righ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D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350E01" wp14:editId="3B66E726">
            <wp:extent cx="4286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5E" w:rsidRPr="00ED7DDD" w:rsidRDefault="0030175E" w:rsidP="00301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УКРАЇНА  </w:t>
      </w:r>
    </w:p>
    <w:p w:rsidR="0030175E" w:rsidRPr="00ED7DDD" w:rsidRDefault="0030175E" w:rsidP="00301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30175E" w:rsidRPr="00ED7DDD" w:rsidRDefault="0030175E" w:rsidP="00301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 ОБЛАСТЬ</w:t>
      </w:r>
    </w:p>
    <w:p w:rsidR="0030175E" w:rsidRPr="00ED7DDD" w:rsidRDefault="0030175E" w:rsidP="00301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30175E" w:rsidRPr="00ED7DDD" w:rsidRDefault="0030175E" w:rsidP="00301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175E" w:rsidRPr="00ED7DDD" w:rsidRDefault="0030175E" w:rsidP="00301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1A21"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двадцять перша </w:t>
      </w:r>
      <w:r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                                                                   восьмого  скликання</w:t>
      </w:r>
    </w:p>
    <w:p w:rsidR="0030175E" w:rsidRPr="00ED7DDD" w:rsidRDefault="0030175E" w:rsidP="00301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175E" w:rsidRPr="00ED7DDD" w:rsidRDefault="0030175E" w:rsidP="00301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  № </w:t>
      </w:r>
    </w:p>
    <w:p w:rsidR="0030175E" w:rsidRPr="00ED7DDD" w:rsidRDefault="0030175E" w:rsidP="00301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175E" w:rsidRPr="00ED7DDD" w:rsidRDefault="0030175E" w:rsidP="0030175E">
      <w:pPr>
        <w:keepNext/>
        <w:shd w:val="clear" w:color="auto" w:fill="FFFFFF"/>
        <w:spacing w:after="300" w:line="240" w:lineRule="auto"/>
        <w:ind w:right="51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затвердження Порядку сприяння проведенню громадської експертизи діяльності виконавчих органів Ново</w:t>
      </w:r>
      <w:r w:rsidR="00BA696D"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град-Волинської міської ради </w:t>
      </w:r>
    </w:p>
    <w:p w:rsidR="0030175E" w:rsidRPr="00ED7DDD" w:rsidRDefault="0030175E" w:rsidP="0030175E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DDD">
        <w:rPr>
          <w:rFonts w:ascii="Times New Roman" w:hAnsi="Times New Roman" w:cs="Times New Roman"/>
          <w:sz w:val="28"/>
          <w:lang w:val="uk-UA"/>
        </w:rPr>
        <w:t xml:space="preserve">Керуючись статтями  25, 26 Закону України «Про місцеве самоврядування в Україні», законами України "Про доступ до публічної інформації", "Про звернення громадян", з метою впровадження європейських стандартів у діяльність міської ради, </w:t>
      </w:r>
      <w:r w:rsidRPr="00ED7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:rsidR="0030175E" w:rsidRPr="00ED7DDD" w:rsidRDefault="0030175E" w:rsidP="0030175E">
      <w:pPr>
        <w:spacing w:after="0" w:line="252" w:lineRule="auto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0175E" w:rsidRPr="00ED7DDD" w:rsidRDefault="0030175E" w:rsidP="0030175E">
      <w:pPr>
        <w:spacing w:after="0" w:line="252" w:lineRule="auto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7DD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30175E" w:rsidRPr="00ED7DDD" w:rsidRDefault="0030175E" w:rsidP="0030175E">
      <w:pPr>
        <w:spacing w:after="0" w:line="252" w:lineRule="auto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0175E" w:rsidRPr="00ED7DDD" w:rsidRDefault="0030175E" w:rsidP="0030175E">
      <w:pPr>
        <w:pStyle w:val="a3"/>
        <w:numPr>
          <w:ilvl w:val="0"/>
          <w:numId w:val="1"/>
        </w:numPr>
        <w:spacing w:after="0" w:line="252" w:lineRule="auto"/>
        <w:ind w:left="0" w:right="21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7D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Порядок сприяння проведенню громадської експертизи діяльності виконавчих органів Новоград-Волинської міської ради </w:t>
      </w:r>
      <w:r w:rsidR="008D114C" w:rsidRPr="00ED7DDD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(додається</w:t>
      </w:r>
      <w:r w:rsidR="00AA22CE" w:rsidRPr="00ED7DDD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30175E" w:rsidRPr="00ED7DDD" w:rsidRDefault="0030175E" w:rsidP="0030175E">
      <w:pPr>
        <w:pStyle w:val="a3"/>
        <w:numPr>
          <w:ilvl w:val="0"/>
          <w:numId w:val="1"/>
        </w:numPr>
        <w:spacing w:after="0" w:line="252" w:lineRule="auto"/>
        <w:ind w:left="0" w:right="21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7DD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депутатської етики, дотримання законності та охорони прав і свобод громадян (</w:t>
      </w:r>
      <w:proofErr w:type="spellStart"/>
      <w:r w:rsidRPr="00ED7DD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Овдіюк</w:t>
      </w:r>
      <w:proofErr w:type="spellEnd"/>
      <w:r w:rsidRPr="00ED7D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В.І.).</w:t>
      </w:r>
    </w:p>
    <w:p w:rsidR="0030175E" w:rsidRPr="00ED7DDD" w:rsidRDefault="0030175E" w:rsidP="0030175E">
      <w:pPr>
        <w:spacing w:after="0" w:line="252" w:lineRule="auto"/>
        <w:ind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0175E" w:rsidRPr="00ED7DDD" w:rsidRDefault="0030175E" w:rsidP="0030175E">
      <w:pPr>
        <w:spacing w:after="0" w:line="252" w:lineRule="auto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0175E" w:rsidRPr="00ED7DDD" w:rsidRDefault="0030175E" w:rsidP="0030175E">
      <w:pPr>
        <w:pStyle w:val="a3"/>
        <w:spacing w:after="0" w:line="252" w:lineRule="auto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175E" w:rsidRPr="00ED7DDD" w:rsidTr="008F6C47">
        <w:tc>
          <w:tcPr>
            <w:tcW w:w="4672" w:type="dxa"/>
          </w:tcPr>
          <w:p w:rsidR="0030175E" w:rsidRPr="00ED7DDD" w:rsidRDefault="0030175E" w:rsidP="008F6C47">
            <w:pPr>
              <w:spacing w:line="252" w:lineRule="auto"/>
              <w:ind w:right="21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7D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673" w:type="dxa"/>
          </w:tcPr>
          <w:p w:rsidR="0030175E" w:rsidRPr="00ED7DDD" w:rsidRDefault="0030175E" w:rsidP="008F6C47">
            <w:pPr>
              <w:spacing w:line="252" w:lineRule="auto"/>
              <w:ind w:right="2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7D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Микола БОРОВЕЦЬ</w:t>
            </w:r>
          </w:p>
        </w:tc>
      </w:tr>
    </w:tbl>
    <w:p w:rsidR="0030175E" w:rsidRPr="00ED7DDD" w:rsidRDefault="0030175E" w:rsidP="0030175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D7DDD" w:rsidRPr="00ED7DDD" w:rsidRDefault="00ED7DDD" w:rsidP="0030175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D7DDD" w:rsidRPr="00ED7DDD" w:rsidRDefault="00ED7DDD" w:rsidP="0030175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D7DDD" w:rsidRPr="00ED7DDD" w:rsidRDefault="00ED7DDD" w:rsidP="0030175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D7DDD" w:rsidRPr="00ED7DDD" w:rsidRDefault="00ED7DDD" w:rsidP="0030175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D7DDD" w:rsidRPr="00ED7DDD" w:rsidRDefault="00ED7DDD" w:rsidP="0030175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D7DDD" w:rsidRPr="00ED7DDD" w:rsidRDefault="00ED7DDD" w:rsidP="0030175E">
      <w:pPr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402"/>
      </w:tblGrid>
      <w:tr w:rsidR="00ED7DDD" w:rsidRPr="00514596" w:rsidTr="00514596">
        <w:tc>
          <w:tcPr>
            <w:tcW w:w="5387" w:type="dxa"/>
          </w:tcPr>
          <w:p w:rsidR="00ED7DDD" w:rsidRPr="00514596" w:rsidRDefault="00ED7DDD" w:rsidP="005D27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ED7DDD" w:rsidRPr="00514596" w:rsidRDefault="00ED7DDD" w:rsidP="00514596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ED7DDD" w:rsidRPr="00514596" w:rsidRDefault="00ED7DDD" w:rsidP="00514596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рішення міської ради</w:t>
            </w:r>
          </w:p>
          <w:p w:rsidR="00ED7DDD" w:rsidRPr="00514596" w:rsidRDefault="00ED7DDD" w:rsidP="00514596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 _______№________</w:t>
            </w:r>
          </w:p>
          <w:p w:rsidR="00ED7DDD" w:rsidRPr="00514596" w:rsidRDefault="00ED7DDD" w:rsidP="005D27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7DDD" w:rsidRPr="00514596" w:rsidRDefault="00ED7DDD" w:rsidP="00F437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</w:t>
      </w:r>
    </w:p>
    <w:p w:rsidR="00ED7DDD" w:rsidRPr="00514596" w:rsidRDefault="00ED7DDD" w:rsidP="00F43716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СПРИЯННЯ ПРОВЕДЕННЮ ГРОМАДСЬКОЇ ЕКСПЕРТИЗИ ДІЯЛЬНОСТІ ВИКОНАВЧИХ ОРГАНІВ НОВОГРАД-ВОЛИНСЬКОЇ МІСЬКОЇ РАДИ</w:t>
      </w:r>
    </w:p>
    <w:p w:rsidR="00ED7DDD" w:rsidRPr="00514596" w:rsidRDefault="00ED7DDD" w:rsidP="00ED7DDD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Цей Порядок визначає комплекс дій та заходів щодо сприяння проведенню інститутами громадянського суспільства громадської експертизи діяльності виконавчих органів Новоград-Волинської 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ради (далі - виконавчі органи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ED7DDD" w:rsidRPr="00514596" w:rsidRDefault="00ED7DDD" w:rsidP="00ED7DDD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Громадська експертиза діяльності органів місцевого самоврядування (далі - громадська експертиза) є складовою механізму демократичного управління, який передбачає проведення інститутами громадянського суспільства аналізу та оцінки діяльності виконавчих органів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, їх посадових осіб та підготовку експертних пропозицій щодо вирішення питань місцевого значення.</w:t>
      </w:r>
    </w:p>
    <w:p w:rsidR="00ED7DDD" w:rsidRPr="00514596" w:rsidRDefault="00ED7DDD" w:rsidP="00ED7DDD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Предметом громадської експертизи є питання, віднесені до компетенції виконавчих органів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, оформлені у акти та нормативно-правові документи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ради, її органів, чи акти посадових осіб Новоград-Волинської міської ради.</w:t>
      </w:r>
    </w:p>
    <w:p w:rsidR="00ED7DDD" w:rsidRPr="00514596" w:rsidRDefault="00ED7DDD" w:rsidP="00ED7DDD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 інститутами громадянського суспільства у цьому Порядку розуміються громадські об'єднання, професійні спілки та їх об'єднання, благодійні організації та інші непідприємницькі товариства, установи та організації - юридичні особи приватного права, легалізовані відповідно до законодавства, та місцезнаходження яких зареєстровано на території Новоград-Волинської міської територіальної громади.</w:t>
      </w:r>
    </w:p>
    <w:p w:rsidR="00ED7DDD" w:rsidRPr="00514596" w:rsidRDefault="00ED7DDD" w:rsidP="00ED7DDD">
      <w:p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Інститут громадянського суспільства (далі - ІГС), зацікавлений у проведенні громадської експертизи, надсилає на ім'я міського голови повідомлення про проведення громадської експертизи із зазначенням:</w:t>
      </w:r>
    </w:p>
    <w:p w:rsidR="00ED7DDD" w:rsidRPr="00514596" w:rsidRDefault="00ED7DDD" w:rsidP="00ED7DDD">
      <w:pPr>
        <w:spacing w:after="0" w:line="240" w:lineRule="auto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1) найменування, місцезнаходження ІГС, відомостей про його реєстрацію, контактних телефонів, електронної адреси (за наявності) та адреси для листування, якщо вона є відмінною від місцезнаходження ІГС;</w:t>
      </w:r>
    </w:p>
    <w:p w:rsidR="00ED7DDD" w:rsidRPr="00514596" w:rsidRDefault="00ED7DDD" w:rsidP="00ED7DDD">
      <w:pPr>
        <w:spacing w:after="0" w:line="240" w:lineRule="auto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2)  посади, прізвища, ім'я та по батькові уповноваженої особи від ІГС, з якою буде взаємодіяти уповноважена особа виконавчого органу щодо сприяння проведенню громадської експертизи;</w:t>
      </w:r>
    </w:p>
    <w:p w:rsidR="00ED7DDD" w:rsidRPr="00514596" w:rsidRDefault="00ED7DDD" w:rsidP="00ED7DDD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3)  предмета та мети проведення громадської експертизи;</w:t>
      </w:r>
    </w:p>
    <w:p w:rsidR="00ED7DDD" w:rsidRPr="00514596" w:rsidRDefault="00ED7DDD" w:rsidP="00B42E82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4)  у разі потреби запиту на інформацію, із описом інформації або зазначенням виду,</w:t>
      </w:r>
      <w:r w:rsidR="00B42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назви, реквізитів чи змісту документів, щодо яких робиться запит, необхідних для проведення громадської експертизи.</w:t>
      </w:r>
    </w:p>
    <w:p w:rsidR="00ED7DDD" w:rsidRPr="00514596" w:rsidRDefault="00ED7DDD" w:rsidP="00ED7DDD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Повідомлення про проведення громадської експертизи підписується уповноваженою особою ІГС відповідно до їхніх установчих документів.</w:t>
      </w:r>
    </w:p>
    <w:p w:rsidR="00ED7DDD" w:rsidRPr="00514596" w:rsidRDefault="00ED7DDD" w:rsidP="00ED7DDD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Якщо у повідомленні міститься запит на інформацію, повідомлення оформлюється з урахуванням приписів Закону України «Про доступ до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публічної інформації». У такому випадку повідомлення розглядається у порядку та строки, визначені Законом України «Про доступ до публічної інформації».</w:t>
      </w:r>
    </w:p>
    <w:p w:rsidR="00ED7DDD" w:rsidRPr="00514596" w:rsidRDefault="00ED7DDD" w:rsidP="00ED7DDD">
      <w:p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5.   Міський голова своїм розпорядженням визначає відповідальний виконавчий орган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(посадову особу), до компетенції якого належить питання, що є предметом громадської експертизи, для опрацювання та сприяння проведенню ІГС громадської експертизи відповідно до цього Порядку.</w:t>
      </w:r>
    </w:p>
    <w:p w:rsidR="00ED7DDD" w:rsidRPr="00514596" w:rsidRDefault="00ED7DDD" w:rsidP="00ED7DDD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виконавчий орган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(посадова особа) розглядає повідомлення ІГС про проведення громадської експертизи та готує один з наступних документів:</w:t>
      </w:r>
    </w:p>
    <w:p w:rsidR="00ED7DDD" w:rsidRPr="00514596" w:rsidRDefault="00AC14E2" w:rsidP="00ED7D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1)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="00ED7DDD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 w:rsidR="00ED7DDD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розпорядження міського голови про сприяння ІГС у проведенні громадської експертизи;</w:t>
      </w:r>
    </w:p>
    <w:p w:rsidR="00ED7DDD" w:rsidRPr="00514596" w:rsidRDefault="00ED7DDD" w:rsidP="00ED7D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2)   повідомлен</w:t>
      </w:r>
      <w:r w:rsidR="00AC14E2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про відмову в підготовці </w:t>
      </w:r>
      <w:proofErr w:type="spellStart"/>
      <w:r w:rsidR="00AC14E2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розпорядження міського голови про сприяння ІГС у проведенні громадської експертизи.</w:t>
      </w:r>
    </w:p>
    <w:p w:rsidR="00ED7DDD" w:rsidRPr="00514596" w:rsidRDefault="00ED7DDD" w:rsidP="00ED7DDD">
      <w:p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6.  ІГС може бути відмовлено у проведенні громадської експертизи у випадках якщо:</w:t>
      </w:r>
    </w:p>
    <w:p w:rsidR="00ED7DDD" w:rsidRPr="00514596" w:rsidRDefault="00ED7DDD" w:rsidP="00ED7D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повідомлення ІГС не відповідає вимогам, передбаченим пунктом 4 цього Порядку;</w:t>
      </w:r>
    </w:p>
    <w:p w:rsidR="00ED7DDD" w:rsidRPr="00514596" w:rsidRDefault="00ED7DDD" w:rsidP="00ED7DDD">
      <w:pPr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 громадської експертизи направлений на оцінку діяльності, що не належить до компетенції виконавчого органу;</w:t>
      </w:r>
    </w:p>
    <w:p w:rsidR="00ED7DDD" w:rsidRPr="00514596" w:rsidRDefault="00ED7DDD" w:rsidP="00ED7DDD">
      <w:pPr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член керівного органу ІГС є близькою особою члена або посадової особи виконавчого органу, щодо діяльності якого проводиться громадська експертиза;</w:t>
      </w:r>
    </w:p>
    <w:p w:rsidR="00ED7DDD" w:rsidRPr="00514596" w:rsidRDefault="00ED7DDD" w:rsidP="00ED7DDD">
      <w:pPr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повідомлення про проведення експертизи подане ІГС, до якого може бути застосований захід, передбачений пунктом 13 цього Порядку.</w:t>
      </w:r>
    </w:p>
    <w:p w:rsidR="00ED7DDD" w:rsidRPr="00514596" w:rsidRDefault="00ED7DDD" w:rsidP="00ED7DDD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Для цілей підпункту 3 пункту 6 цього Порядку термін «близька особа» вживається у визначенні, наданому Законом України «Про запобігання корупції».</w:t>
      </w:r>
    </w:p>
    <w:p w:rsidR="00ED7DDD" w:rsidRPr="00514596" w:rsidRDefault="00ED7DDD" w:rsidP="00ED7DDD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Якщо у виконавчому органі не визначено посадову особу, відповідальну за попер</w:t>
      </w:r>
      <w:r w:rsidR="00AC14E2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едній розгляд та підготовку </w:t>
      </w:r>
      <w:proofErr w:type="spellStart"/>
      <w:r w:rsidR="00AC14E2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розпоряджень, зазначених у підпунктах 1 та 2 пункту 5 цього Порядку, відповідальність за виконання цих приписів Порядку покладається на міського голову.</w:t>
      </w:r>
    </w:p>
    <w:p w:rsidR="00ED7DDD" w:rsidRPr="00514596" w:rsidRDefault="00ED7DDD" w:rsidP="00ED7DDD">
      <w:p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7.   Розпорядження міського голови про сприяння ІГС у проведенні громадської експертизи видається впродовж 5 робочих днів з моменту отримання відповідного повідомлення.</w:t>
      </w:r>
    </w:p>
    <w:p w:rsidR="00ED7DDD" w:rsidRPr="00514596" w:rsidRDefault="00ED7DDD" w:rsidP="00ED7DDD">
      <w:p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У розпорядженні міського голови зазначаються:</w:t>
      </w:r>
    </w:p>
    <w:p w:rsidR="00ED7DDD" w:rsidRPr="00514596" w:rsidRDefault="00ED7DDD" w:rsidP="00ED7DDD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прізвище, ім'я, по батькові та посада особи (осіб) виконавчого органу, відповідальної (відповідальних) за сприяння проведенню громадської експертизи;</w:t>
      </w:r>
    </w:p>
    <w:p w:rsidR="00ED7DDD" w:rsidRPr="00514596" w:rsidRDefault="00ED7DDD" w:rsidP="00ED7DDD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перелік заходів, що мають бути забезпечені виконавчим органом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сприяння проведенню громадської експертизи із зазначенням строків та відповідальних виконавців.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Копія розпорядження про сприяння ІГС у проведенні громадської експертизи не пізніше, ніж на третій робочий день після його видання, надсилається відповідному ІГС у спосіб, вказаний ІГС у повідомленні про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проведення громадської експертизи, а якщо такий спосіб не визначено - на поштову адресу ІГС.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День видання розпорядження про сприяння ІГС у проведенні громадської експертизи є датою початку проведення такої експертизи.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8.   Вмотивоване повідомлення про відмову у проведенні громадської експертизи із зазначенням підстав такої відмови, та у разі можливості внесення виправлень у повідомлення, із зазначенням недоліків, які потрібно виправити, надсилається уповноваженій особі ІГС у спосіб та строки, визначені абзацом сьомим пункту 7 цього Порядку. Невмотивована відмова у підготовці розпорядження не допускається.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9. Інформація про отримання повідомлень про проведення громадської експертизи, а також прийняті з цього привод</w:t>
      </w:r>
      <w:r w:rsidR="00B42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рішення оприлюднюються на офіційному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сайті виконавчого органу (у разі наявності) та 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строк не пізніше трьох робочих днів з моменту прийняття відповідного рішення.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10. Документи та інформація, запитані ІГС для проведення громадської експертизи, готуються та надаються відповідно до Закону України «Про доступ до публічної інформації».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11. Посадові особи виконавчого органу не повинні перешкоджати проведенню громадської експертизи та втручатись у правомірну діяльність ІГС, пов'язану з її проведенням.</w:t>
      </w:r>
    </w:p>
    <w:p w:rsidR="00ED7DDD" w:rsidRPr="00514596" w:rsidRDefault="00ED7DDD" w:rsidP="00ED7DDD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12. Висновки, пропозиції чи інші документи, підготовлені ІГС за результатами громадської експертизи (далі - експертні пропозиції), подаються міському голові впродовж 60 робочих днів від початку проведення громадської експертизи в письмовій та електронній формі з зазначенням:</w:t>
      </w:r>
    </w:p>
    <w:p w:rsidR="00ED7DDD" w:rsidRPr="00514596" w:rsidRDefault="00ED7DDD" w:rsidP="00ED7DDD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інформації про ініціатора громадської експертизи;</w:t>
      </w:r>
    </w:p>
    <w:p w:rsidR="00ED7DDD" w:rsidRPr="00514596" w:rsidRDefault="00ED7DDD" w:rsidP="00ED7DDD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предмета і мети проведення громадської експертизи;</w:t>
      </w:r>
    </w:p>
    <w:p w:rsidR="00ED7DDD" w:rsidRPr="00514596" w:rsidRDefault="00ED7DDD" w:rsidP="00ED7DDD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3) 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відомостей про експертів, які проводили експертизу;</w:t>
      </w:r>
    </w:p>
    <w:p w:rsidR="00ED7DDD" w:rsidRPr="00514596" w:rsidRDefault="00ED7DDD" w:rsidP="00ED7DDD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4) 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переліку інформації, відомостей та документів, які були досліджені для проведення громадської експертизи;</w:t>
      </w:r>
    </w:p>
    <w:p w:rsidR="00ED7DDD" w:rsidRPr="00514596" w:rsidRDefault="00ED7DDD" w:rsidP="00ED7DDD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5)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експертних пропозицій щодо аналізу та оцінки діяльності виконавчого органу (розв'язання проблем місцевого значення, які становлять суспільний інтерес).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Експертні пропозиції повинні стосуватися виключно питань, віднесених до компетенції відповідного виконавчого органу та які є предметом даної громадської експертизи згідно з підпунктом 3 пункту 4 цього Порядку, містити чіткі рекомендації і опис заходів з їх впровадження, а також можуть містити обґрунтовану оцінку діяльності виконавчого органу.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коли ініціатор громадської експертизи не подав експертні пропозиції впродовж 60 робочих днів від початку проведення громадської експертизи, експертиза вважається такою, що не відбулася.</w:t>
      </w:r>
    </w:p>
    <w:p w:rsidR="00ED7DDD" w:rsidRPr="00514596" w:rsidRDefault="00ED7DDD" w:rsidP="00ED7DDD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13. ІГС, який у визначені цим Порядком строки не подав експертних пропозицій за наслідками проведення громадської експертизи, не може ініціювати проведення та/або брати участь у проведенні інших громадських експертиз діяльності виконавчого органу впродовж 365 календарних днів з моменту завершення строку для подання відповідних експертних пропозицій.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Заборона, передбачена абзацом першим цього пункту Порядку, не може обмежувати права ІГС на доступ до публічної інформації та стосується виключно права участі в проведенні громадських експертиз.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про застосування до ІГС передбачених абзацом першим цього пункту заборон та підстав для їх застосування оприлюднюється у строки та спосіб, визначений пунктом 9 цього Порядку, та має бути доступною для перегляду щонайменше впродовж 365 календарних днів з моменту прийняття відповідного рішення.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14. Експертні пропозиції, підготовлені ІГС за результатами проведеної громадської експертизи, мають бути розглянуті виконавчим комітетом</w:t>
      </w:r>
      <w:r w:rsidR="008F438F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та/або </w:t>
      </w:r>
      <w:r w:rsidR="008F438F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міською радою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впродовж 30 календарних днів від дати надходження таких пропозицій.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Для участі з правом голосу в розгляді експертних пропозицій обов'язково запрошується представник ІГС, який проводив громадську експертизу.</w:t>
      </w:r>
    </w:p>
    <w:p w:rsidR="00ED7DDD" w:rsidRPr="00514596" w:rsidRDefault="00ED7DDD" w:rsidP="00ED7DDD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Експертні пропозиції ІГС розміщуються на </w:t>
      </w:r>
      <w:r w:rsidR="00B42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сайті виконавчого органу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 разі наявності) та 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пізніше, ніж через 5 робочих днів з моменту отримання експертних пропозицій.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За результатами розгляду експертних пропозицій, підготовлених ІГС за результатами проведеної громадської експертизи, виконавчий комітет </w:t>
      </w:r>
      <w:r w:rsidR="008F438F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та/або м</w:t>
      </w:r>
      <w:bookmarkStart w:id="0" w:name="_GoBack"/>
      <w:bookmarkEnd w:id="0"/>
      <w:r w:rsidR="008F438F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іська р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ада в межах своїх повноважень може прийняти одне з таких рішень: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  підтримати експертні пропозиції та, за необхідності, доручити </w:t>
      </w:r>
      <w:r w:rsidR="00EA15EA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відповідним виконавчим органам 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EA15EA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C14E2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 підготувати </w:t>
      </w:r>
      <w:proofErr w:type="spellStart"/>
      <w:r w:rsidR="00AC14E2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(міської р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ади) з цього питання;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  підтримати експертні пропозиції частково (з обґрунтуванням такого рішення) та, за необхідності, доручити </w:t>
      </w:r>
      <w:r w:rsidR="00EA15EA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відповідним виконавчим органам 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EA15EA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AC14E2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ади підготувати </w:t>
      </w:r>
      <w:proofErr w:type="spellStart"/>
      <w:r w:rsidR="00AC14E2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(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ради) з цього питання;</w:t>
      </w:r>
    </w:p>
    <w:p w:rsidR="00ED7DDD" w:rsidRPr="00514596" w:rsidRDefault="00ED7DDD" w:rsidP="00ED7DDD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3)  відхилити експертні пропозиції з обґрунтуванням такого рішення.</w:t>
      </w:r>
    </w:p>
    <w:p w:rsidR="00ED7DDD" w:rsidRPr="00514596" w:rsidRDefault="00ED7DDD" w:rsidP="00ED7DDD">
      <w:pPr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про результати розгляду експертних пропозицій відповідальним виконавчим органом </w:t>
      </w:r>
      <w:r w:rsidR="008F438F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(посадовою особою) надсилається письмово на зазначену ІГС адресу та оприлюднюється на </w:t>
      </w:r>
      <w:r w:rsidR="00B42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сайті виконавчог</w:t>
      </w:r>
      <w:r w:rsidR="00EA15EA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о органу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EA15EA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 разі наявності) та </w:t>
      </w:r>
      <w:r w:rsidR="00751CC7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EA15EA"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514596">
        <w:rPr>
          <w:rFonts w:ascii="Times New Roman" w:eastAsia="Times New Roman" w:hAnsi="Times New Roman" w:cs="Times New Roman"/>
          <w:sz w:val="28"/>
          <w:szCs w:val="28"/>
          <w:lang w:val="uk-UA"/>
        </w:rPr>
        <w:t>ади не пізніше 5 робочих днів з моменту їх розгляду.</w:t>
      </w:r>
    </w:p>
    <w:p w:rsidR="00ED7DDD" w:rsidRPr="00514596" w:rsidRDefault="00ED7DDD" w:rsidP="00ED7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DEF" w:rsidRPr="00514596" w:rsidRDefault="00BD5DEF" w:rsidP="00ED7D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7DDD" w:rsidRPr="00514596" w:rsidRDefault="00ED7DDD" w:rsidP="00ED7D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7DDD" w:rsidRPr="00514596" w:rsidRDefault="00ED7DDD" w:rsidP="00ED7D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459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="005145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5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5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5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59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Pr="00514596">
        <w:rPr>
          <w:rFonts w:ascii="Times New Roman" w:hAnsi="Times New Roman" w:cs="Times New Roman"/>
          <w:sz w:val="28"/>
          <w:szCs w:val="28"/>
          <w:lang w:val="uk-UA"/>
        </w:rPr>
        <w:t>Оксана ГВОЗДЕНКО</w:t>
      </w:r>
    </w:p>
    <w:sectPr w:rsidR="00ED7DDD" w:rsidRPr="00514596" w:rsidSect="00F43716">
      <w:footerReference w:type="default" r:id="rId8"/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ED" w:rsidRDefault="002521ED" w:rsidP="00F43716">
      <w:pPr>
        <w:spacing w:after="0" w:line="240" w:lineRule="auto"/>
      </w:pPr>
      <w:r>
        <w:separator/>
      </w:r>
    </w:p>
  </w:endnote>
  <w:endnote w:type="continuationSeparator" w:id="0">
    <w:p w:rsidR="002521ED" w:rsidRDefault="002521ED" w:rsidP="00F4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16" w:rsidRDefault="00F43716">
    <w:pPr>
      <w:pStyle w:val="a9"/>
      <w:jc w:val="center"/>
      <w:rPr>
        <w:lang w:val="uk-UA"/>
      </w:rPr>
    </w:pPr>
  </w:p>
  <w:p w:rsidR="00F43716" w:rsidRPr="00F43716" w:rsidRDefault="00F43716" w:rsidP="00F43716">
    <w:pPr>
      <w:pStyle w:val="a9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ED" w:rsidRDefault="002521ED" w:rsidP="00F43716">
      <w:pPr>
        <w:spacing w:after="0" w:line="240" w:lineRule="auto"/>
      </w:pPr>
      <w:r>
        <w:separator/>
      </w:r>
    </w:p>
  </w:footnote>
  <w:footnote w:type="continuationSeparator" w:id="0">
    <w:p w:rsidR="002521ED" w:rsidRDefault="002521ED" w:rsidP="00F4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0500"/>
    <w:multiLevelType w:val="multilevel"/>
    <w:tmpl w:val="229E4F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03328BF"/>
    <w:multiLevelType w:val="hybridMultilevel"/>
    <w:tmpl w:val="30C4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9"/>
    <w:rsid w:val="000F1A21"/>
    <w:rsid w:val="002521ED"/>
    <w:rsid w:val="0030175E"/>
    <w:rsid w:val="004C10CE"/>
    <w:rsid w:val="00514596"/>
    <w:rsid w:val="005E751D"/>
    <w:rsid w:val="0067600F"/>
    <w:rsid w:val="00751CC7"/>
    <w:rsid w:val="008D114C"/>
    <w:rsid w:val="008F438F"/>
    <w:rsid w:val="00AA22CE"/>
    <w:rsid w:val="00AC14E2"/>
    <w:rsid w:val="00B42E82"/>
    <w:rsid w:val="00BA696D"/>
    <w:rsid w:val="00BD2539"/>
    <w:rsid w:val="00BD5DEF"/>
    <w:rsid w:val="00EA15EA"/>
    <w:rsid w:val="00ED7DDD"/>
    <w:rsid w:val="00F4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C7761"/>
  <w15:chartTrackingRefBased/>
  <w15:docId w15:val="{E92ED9C5-4B1D-4E4C-B645-7BD8C6B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5E"/>
    <w:pPr>
      <w:ind w:left="720"/>
      <w:contextualSpacing/>
    </w:pPr>
  </w:style>
  <w:style w:type="table" w:styleId="a4">
    <w:name w:val="Table Grid"/>
    <w:basedOn w:val="a1"/>
    <w:uiPriority w:val="39"/>
    <w:rsid w:val="0030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71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3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716"/>
  </w:style>
  <w:style w:type="paragraph" w:styleId="a9">
    <w:name w:val="footer"/>
    <w:basedOn w:val="a"/>
    <w:link w:val="aa"/>
    <w:uiPriority w:val="99"/>
    <w:unhideWhenUsed/>
    <w:rsid w:val="00F43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k19-1</cp:lastModifiedBy>
  <cp:revision>9</cp:revision>
  <cp:lastPrinted>2022-05-25T11:01:00Z</cp:lastPrinted>
  <dcterms:created xsi:type="dcterms:W3CDTF">2022-05-20T05:56:00Z</dcterms:created>
  <dcterms:modified xsi:type="dcterms:W3CDTF">2022-05-25T11:03:00Z</dcterms:modified>
</cp:coreProperties>
</file>