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1E" w:rsidRPr="00E5791E" w:rsidRDefault="00E5791E" w:rsidP="00E5791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E5791E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6D12F2F7" wp14:editId="0AFFD65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1E" w:rsidRPr="00E5791E" w:rsidRDefault="00E5791E" w:rsidP="00E5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ЗВЯГЕЛЬСЬКИЙ МІСЬКИЙ ГОЛОВА</w:t>
      </w:r>
    </w:p>
    <w:p w:rsidR="00E5791E" w:rsidRPr="00E5791E" w:rsidRDefault="00E5791E" w:rsidP="00E5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E5791E" w:rsidRPr="00E5791E" w:rsidRDefault="00E5791E" w:rsidP="00E5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91E" w:rsidRPr="00E5791E" w:rsidRDefault="00E5791E" w:rsidP="00E5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91E" w:rsidRPr="00E5791E" w:rsidRDefault="00CE62AE" w:rsidP="00E5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01.02.2023</w:t>
      </w:r>
      <w:r w:rsidR="00E5791E"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5791E"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791E"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791E"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E5791E" w:rsidRPr="00E5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21(о)</w:t>
      </w:r>
    </w:p>
    <w:p w:rsidR="00E5791E" w:rsidRPr="00E5791E" w:rsidRDefault="00E5791E" w:rsidP="00E579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91E" w:rsidRPr="00E5791E" w:rsidRDefault="00E5791E" w:rsidP="00E579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B16" w:rsidRDefault="00AD5B16" w:rsidP="00AD5B16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</w:p>
    <w:p w:rsidR="00AD5B16" w:rsidRDefault="00AD5B16" w:rsidP="00AD5B16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6A2A5D" w:rsidRPr="00CC7985" w:rsidRDefault="006A2A5D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CC7985" w:rsidRDefault="00CC7985" w:rsidP="00E5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Про затвердження </w:t>
      </w:r>
      <w:r w:rsidR="00D364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Операційного п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лану</w:t>
      </w:r>
    </w:p>
    <w:p w:rsidR="00CC7985" w:rsidRPr="00CC7985" w:rsidRDefault="00E5791E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діяльності відділу внутрішнього аудиту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B74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Звягельської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</w:t>
      </w:r>
    </w:p>
    <w:p w:rsidR="00CC7985" w:rsidRPr="00CC7985" w:rsidRDefault="00E5791E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202</w:t>
      </w:r>
      <w:r w:rsidR="006A2A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D5B16" w:rsidRPr="00AD5B16" w:rsidRDefault="00CC7985" w:rsidP="00343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0D0747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A233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Керуючись </w:t>
      </w:r>
      <w:r w:rsidR="00E579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2,3 статті 52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Постанов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ами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КМУ від 28.09.2011 № 1001 «</w:t>
      </w:r>
      <w:r w:rsidR="00343986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Деякі питання здійснення внутрішнього аудиту та утворення підрозділів внутрішнього аудиту</w:t>
      </w:r>
      <w:r w:rsidR="007C3D95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D36431" w:rsidRPr="00D36431">
        <w:rPr>
          <w:lang w:val="uk-UA"/>
        </w:rPr>
        <w:t xml:space="preserve"> 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="00343986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12 грудня 2018 р. № 1062</w:t>
      </w:r>
      <w:r w:rsid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343986" w:rsidRPr="003439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р. № 1001</w:t>
      </w:r>
      <w:r w:rsidR="00343986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0E1AB3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0E1AB3" w:rsidRPr="000E1AB3">
        <w:rPr>
          <w:rFonts w:ascii="Times New Roman" w:hAnsi="Times New Roman" w:cs="Times New Roman"/>
          <w:sz w:val="28"/>
          <w:szCs w:val="28"/>
          <w:lang w:val="uk-UA"/>
        </w:rPr>
        <w:t>посилення  фундаментальних засад компетентності і старанності при урядуванні</w:t>
      </w:r>
      <w:r w:rsidR="000E1A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7985" w:rsidRPr="00AD5B16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0D0747" w:rsidRPr="000D07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1. Затвердити Операційний план діяльності відділу внутрішнього аудиту   </w:t>
      </w:r>
      <w:r w:rsidR="006A2A5D" w:rsidRPr="006A2A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Звягельської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 на 202</w:t>
      </w:r>
      <w:r w:rsidR="006A2A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(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далі – Операційний план) згідно додатку.</w:t>
      </w:r>
    </w:p>
    <w:p w:rsidR="00CC7985" w:rsidRPr="00CC7985" w:rsidRDefault="000D0747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3D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2.</w:t>
      </w:r>
      <w:r w:rsidR="00A233C2" w:rsidRPr="00A23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Начальнику відділу вн</w:t>
      </w:r>
      <w:r w:rsidR="007C3D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утрішнього аудиту міської ради Дем’янюк О.Ю.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забезпечити 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</w:t>
      </w:r>
      <w:r w:rsidR="00CC7985"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Операційного плану.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0D0747" w:rsidRPr="000D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3. Контроль за виконанням цього розпорядження покласти на </w:t>
      </w:r>
      <w:r w:rsidR="00AD5B16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</w:t>
      </w:r>
      <w:r w:rsid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пника міського голови  </w:t>
      </w:r>
      <w:proofErr w:type="spellStart"/>
      <w:r w:rsidR="00AD5B16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Гудзь</w:t>
      </w:r>
      <w:proofErr w:type="spellEnd"/>
      <w:r w:rsidR="00AD5B16" w:rsidRPr="00AD5B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І.Л</w:t>
      </w: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C7985" w:rsidRPr="00CC7985" w:rsidRDefault="00CC7985" w:rsidP="00CC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C79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</w:p>
    <w:p w:rsidR="008A45F5" w:rsidRPr="008A45F5" w:rsidRDefault="008A45F5" w:rsidP="008A45F5">
      <w:pPr>
        <w:shd w:val="clear" w:color="auto" w:fill="FFFFFF"/>
        <w:tabs>
          <w:tab w:val="left" w:pos="708"/>
          <w:tab w:val="left" w:pos="2910"/>
        </w:tabs>
        <w:spacing w:after="0" w:line="319" w:lineRule="exact"/>
        <w:ind w:right="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5F5" w:rsidRPr="008A45F5" w:rsidRDefault="00C20E7F" w:rsidP="008A45F5">
      <w:pPr>
        <w:tabs>
          <w:tab w:val="left" w:pos="12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</w:t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8A45F5" w:rsidRPr="008A4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3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БОРОВЕЦЬ</w:t>
      </w:r>
      <w:r w:rsidR="008A45F5" w:rsidRPr="008A45F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     </w:t>
      </w:r>
    </w:p>
    <w:p w:rsidR="008A45F5" w:rsidRPr="008A45F5" w:rsidRDefault="008A45F5" w:rsidP="008A45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8A45F5" w:rsidRPr="008A45F5" w:rsidRDefault="008A45F5" w:rsidP="008A45F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8A45F5" w:rsidRDefault="008A45F5" w:rsidP="006874A6">
      <w:pPr>
        <w:tabs>
          <w:tab w:val="left" w:pos="11400"/>
        </w:tabs>
        <w:rPr>
          <w:b/>
          <w:sz w:val="28"/>
          <w:szCs w:val="28"/>
          <w:lang w:val="uk-UA"/>
        </w:rPr>
        <w:sectPr w:rsidR="008A45F5" w:rsidSect="008A45F5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AD5B16" w:rsidRDefault="008A45F5" w:rsidP="00E5791E">
      <w:pPr>
        <w:tabs>
          <w:tab w:val="left" w:pos="1338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</w:t>
      </w:r>
      <w:r w:rsidR="00AD5B16">
        <w:rPr>
          <w:b/>
          <w:sz w:val="28"/>
          <w:szCs w:val="28"/>
          <w:lang w:val="uk-UA"/>
        </w:rPr>
        <w:t xml:space="preserve">                              </w:t>
      </w:r>
    </w:p>
    <w:p w:rsidR="00E5791E" w:rsidRDefault="00AD5B16" w:rsidP="00E5791E">
      <w:pPr>
        <w:pStyle w:val="a4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91E">
        <w:rPr>
          <w:lang w:val="uk-UA"/>
        </w:rPr>
        <w:t xml:space="preserve">       </w:t>
      </w:r>
    </w:p>
    <w:p w:rsidR="00E5791E" w:rsidRPr="00E5791E" w:rsidRDefault="00E5791E" w:rsidP="00E579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791E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5791E" w:rsidRDefault="00E5791E" w:rsidP="00E579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розпорядженням міського голови</w:t>
      </w:r>
      <w:r w:rsidRPr="00E57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5B16" w:rsidRPr="00AD5B16" w:rsidRDefault="00E5791E" w:rsidP="00E579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E5791E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CE62AE">
        <w:rPr>
          <w:rFonts w:ascii="Times New Roman" w:hAnsi="Times New Roman" w:cs="Times New Roman"/>
          <w:sz w:val="28"/>
          <w:szCs w:val="28"/>
          <w:lang w:val="uk-UA"/>
        </w:rPr>
        <w:t>01.02.2023</w:t>
      </w:r>
      <w:r w:rsidRPr="00E5791E">
        <w:rPr>
          <w:rFonts w:ascii="Times New Roman" w:hAnsi="Times New Roman" w:cs="Times New Roman"/>
          <w:sz w:val="28"/>
          <w:szCs w:val="28"/>
          <w:lang w:val="uk-UA"/>
        </w:rPr>
        <w:t xml:space="preserve">  №   </w:t>
      </w:r>
      <w:r w:rsidR="00CE62AE">
        <w:rPr>
          <w:rFonts w:ascii="Times New Roman" w:hAnsi="Times New Roman" w:cs="Times New Roman"/>
          <w:sz w:val="28"/>
          <w:szCs w:val="28"/>
          <w:lang w:val="uk-UA"/>
        </w:rPr>
        <w:t>21(о)</w:t>
      </w:r>
    </w:p>
    <w:p w:rsidR="003F2081" w:rsidRPr="003F2081" w:rsidRDefault="003F2081" w:rsidP="00E5791E">
      <w:pPr>
        <w:tabs>
          <w:tab w:val="left" w:pos="1140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20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AD5B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F20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2081" w:rsidRPr="000B3A9E" w:rsidRDefault="003F2081" w:rsidP="003F2081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0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0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ОПЕРАЦІЙНИЙ ПЛАН </w:t>
      </w:r>
    </w:p>
    <w:p w:rsidR="003F2081" w:rsidRDefault="003F2081" w:rsidP="003F2081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30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C3D9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>іяльності відділу внутрішнього  аудиту</w:t>
      </w:r>
    </w:p>
    <w:p w:rsidR="00161BF9" w:rsidRPr="000B3A9E" w:rsidRDefault="00161BF9" w:rsidP="00161BF9">
      <w:pPr>
        <w:tabs>
          <w:tab w:val="left" w:pos="736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CB7421">
        <w:rPr>
          <w:rFonts w:ascii="Times New Roman" w:hAnsi="Times New Roman" w:cs="Times New Roman"/>
          <w:b/>
          <w:sz w:val="28"/>
          <w:szCs w:val="28"/>
          <w:lang w:val="uk-UA"/>
        </w:rPr>
        <w:t>Звягельської</w:t>
      </w:r>
      <w:r w:rsidR="006A2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3F2081" w:rsidRPr="000B3A9E" w:rsidRDefault="003F2081" w:rsidP="003F2081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3051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 202</w:t>
      </w:r>
      <w:r w:rsidR="006A2A5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B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63F34" w:rsidRPr="003F2081" w:rsidRDefault="003F2081" w:rsidP="003F2081">
      <w:pPr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Операційний план діяльності відділу внутрішнього аудиту</w:t>
      </w:r>
      <w:r w:rsidR="00CC798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слугує деталізації стратегічних напрямків проведення перевірок (внутрішнього аудиту) на  виконання Стратегічного п</w:t>
      </w:r>
      <w:r w:rsidR="00C76B2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ану діяльності  відділу внутрішнього аудиту </w:t>
      </w:r>
      <w:r w:rsidR="00CB7421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на 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>-2023 роки</w:t>
      </w:r>
      <w:r w:rsidR="000E1AB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міського голови від 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6A5" w:rsidRPr="00D636A5">
        <w:rPr>
          <w:rFonts w:ascii="Times New Roman" w:hAnsi="Times New Roman" w:cs="Times New Roman"/>
          <w:sz w:val="28"/>
          <w:szCs w:val="28"/>
          <w:lang w:val="uk-UA"/>
        </w:rPr>
        <w:t xml:space="preserve"> 25 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 xml:space="preserve">ервня 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A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>№ 159 (о)</w:t>
      </w:r>
      <w:r w:rsidR="007C3D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посилення  фундаментальних засад компетентності і старанності при урядуванні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 та на основі досвіду і бази діяльності з внутрішнього аудиту в 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 xml:space="preserve">-2022 </w:t>
      </w:r>
      <w:r w:rsidR="00D636A5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A2A5D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963F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489"/>
        <w:gridCol w:w="3287"/>
        <w:gridCol w:w="4073"/>
        <w:gridCol w:w="2882"/>
        <w:gridCol w:w="2155"/>
      </w:tblGrid>
      <w:tr w:rsidR="000B3A9E" w:rsidTr="000B3A9E">
        <w:tc>
          <w:tcPr>
            <w:tcW w:w="458" w:type="dxa"/>
          </w:tcPr>
          <w:p w:rsidR="00963F34" w:rsidRPr="000B3A9E" w:rsidRDefault="00963F34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489" w:type="dxa"/>
          </w:tcPr>
          <w:p w:rsidR="00963F34" w:rsidRPr="000B3A9E" w:rsidRDefault="000B3A9E" w:rsidP="000B3A9E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</w:t>
            </w:r>
            <w:r w:rsidR="00963F34"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внутрішнього </w:t>
            </w: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аудиту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A23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3287" w:type="dxa"/>
          </w:tcPr>
          <w:p w:rsidR="00963F34" w:rsidRPr="000B3A9E" w:rsidRDefault="000B3A9E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для включення об’єкта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B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внутрішнього аудиту</w:t>
            </w:r>
            <w:r w:rsidR="00BB4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B4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(Стратегічний план)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інше</w:t>
            </w:r>
          </w:p>
        </w:tc>
        <w:tc>
          <w:tcPr>
            <w:tcW w:w="4073" w:type="dxa"/>
          </w:tcPr>
          <w:p w:rsidR="00BB4415" w:rsidRDefault="00BB4415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3F34" w:rsidRPr="000B3A9E" w:rsidRDefault="000B3A9E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Операційне завдання</w:t>
            </w:r>
            <w:r w:rsidR="00BB4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деталізоване</w:t>
            </w:r>
          </w:p>
        </w:tc>
        <w:tc>
          <w:tcPr>
            <w:tcW w:w="2882" w:type="dxa"/>
          </w:tcPr>
          <w:p w:rsidR="00963F34" w:rsidRPr="000B3A9E" w:rsidRDefault="000B3A9E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Простір внутрішнього аудиту</w:t>
            </w:r>
            <w:r w:rsidR="00243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інше</w:t>
            </w:r>
          </w:p>
        </w:tc>
        <w:tc>
          <w:tcPr>
            <w:tcW w:w="2155" w:type="dxa"/>
          </w:tcPr>
          <w:p w:rsidR="00963F34" w:rsidRPr="000B3A9E" w:rsidRDefault="000B3A9E" w:rsidP="006C341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охоплення/</w:t>
            </w:r>
            <w:r w:rsidR="006C3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C3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</w:tr>
      <w:tr w:rsidR="000A3321" w:rsidRPr="000A3321" w:rsidTr="000B3A9E">
        <w:tc>
          <w:tcPr>
            <w:tcW w:w="458" w:type="dxa"/>
          </w:tcPr>
          <w:p w:rsidR="000A3321" w:rsidRPr="000B3A9E" w:rsidRDefault="000A3321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0A3321" w:rsidRPr="00243501" w:rsidRDefault="006A2A5D" w:rsidP="000A332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0A3321"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пераційного плану діяльності відділу внутрішнього аудиту міської ради а також Програми забезпечення та підвищення </w:t>
            </w:r>
            <w:r w:rsidR="000A3321"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якості внутрішнього аудиту</w:t>
            </w:r>
          </w:p>
        </w:tc>
        <w:tc>
          <w:tcPr>
            <w:tcW w:w="3287" w:type="dxa"/>
          </w:tcPr>
          <w:p w:rsidR="000A3321" w:rsidRDefault="00010C29" w:rsidP="00010C2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Стандарти внутрішнього аудиту затверджені наказом Мінфіну від 04.10.2011 № 1247</w:t>
            </w:r>
          </w:p>
          <w:p w:rsidR="00D36431" w:rsidRDefault="00D36431" w:rsidP="00010C2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431" w:rsidRPr="00243501" w:rsidRDefault="00D36431" w:rsidP="00D3643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Зміни </w:t>
            </w:r>
            <w:r w:rsidRP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 12.01.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P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Постанови КМУ №  1001 від </w:t>
            </w:r>
            <w:r w:rsidRP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вересня 2011 р. № 1001</w:t>
            </w:r>
          </w:p>
        </w:tc>
        <w:tc>
          <w:tcPr>
            <w:tcW w:w="4073" w:type="dxa"/>
          </w:tcPr>
          <w:p w:rsidR="000A3321" w:rsidRDefault="00010C29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Оцінка надання відповідних рекомендацій щодо системи управління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врахува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ефективності управління діяльністю, ступеня виконання і досягнення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визначених цілей, якості виконання відповідних завдань та функцій, що стосуют</w:t>
            </w:r>
            <w:r w:rsid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ься роботи відділу внутрішнього аудиту</w:t>
            </w:r>
          </w:p>
          <w:p w:rsidR="006C3412" w:rsidRDefault="006C3412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з депутатами Звягельської міської ради</w:t>
            </w:r>
          </w:p>
          <w:p w:rsidR="006C3412" w:rsidRDefault="006C3412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Якість моніторингу </w:t>
            </w: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рекомендацій за актами внутрішнього аудиту</w:t>
            </w: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3501" w:rsidRDefault="0024350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43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ослідження та оцінка системи управління та внутрішнього контролю, у тому числі управління ризиками </w:t>
            </w:r>
          </w:p>
          <w:p w:rsidR="00D36431" w:rsidRDefault="00D36431" w:rsidP="0024350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431" w:rsidRPr="00010C29" w:rsidRDefault="006C3412" w:rsidP="006C341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можливості доцільної </w:t>
            </w:r>
            <w:r w:rsidR="00D3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сертифікації спеціалістів з внутрішнього аудиту</w:t>
            </w:r>
          </w:p>
        </w:tc>
        <w:tc>
          <w:tcPr>
            <w:tcW w:w="2882" w:type="dxa"/>
          </w:tcPr>
          <w:p w:rsidR="000A3321" w:rsidRPr="00A233C2" w:rsidRDefault="00243501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внутрішнього аудиту</w:t>
            </w:r>
            <w:r w:rsid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2155" w:type="dxa"/>
          </w:tcPr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412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321" w:rsidRPr="00A233C2" w:rsidRDefault="00A233C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43501" w:rsidRP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B5AD3" w:rsidRPr="005B5AD3" w:rsidTr="000B3A9E">
        <w:tc>
          <w:tcPr>
            <w:tcW w:w="458" w:type="dxa"/>
          </w:tcPr>
          <w:p w:rsidR="005B5AD3" w:rsidRPr="000B3A9E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5B5AD3" w:rsidRDefault="005B5AD3" w:rsidP="000A332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завершальних процедурах з введення в експлуатацію приміщення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Шевченка -20 («Прозорий офіс»)</w:t>
            </w:r>
          </w:p>
        </w:tc>
        <w:tc>
          <w:tcPr>
            <w:tcW w:w="3287" w:type="dxa"/>
          </w:tcPr>
          <w:p w:rsidR="005B5AD3" w:rsidRPr="00243501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Належне використання приміщення з метою неухильного виконання вимог статті 3 Конституції України </w:t>
            </w:r>
          </w:p>
        </w:tc>
        <w:tc>
          <w:tcPr>
            <w:tcW w:w="4073" w:type="dxa"/>
          </w:tcPr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Медіація взаємовідносин учасників  процесів</w:t>
            </w:r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 за втіленням заходів  з завершення будівництва у змішаний спосіб</w:t>
            </w:r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правомірністю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</w:t>
            </w:r>
            <w:proofErr w:type="spellEnd"/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правомірністю здійснення закупівель</w:t>
            </w:r>
          </w:p>
          <w:p w:rsidR="005B5AD3" w:rsidRPr="00010C29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</w:tcPr>
          <w:p w:rsidR="005B5AD3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внутрішнього аудиту міської ради</w:t>
            </w:r>
          </w:p>
          <w:p w:rsidR="005B5AD3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  <w:p w:rsidR="005B5AD3" w:rsidRDefault="005B5AD3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Pr="00A233C2" w:rsidRDefault="005B5AD3" w:rsidP="005B5AD3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2155" w:type="dxa"/>
          </w:tcPr>
          <w:p w:rsidR="005B5AD3" w:rsidRDefault="006C3412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2021- грудень 2022</w:t>
            </w:r>
          </w:p>
          <w:p w:rsidR="005B5AD3" w:rsidRDefault="005B5AD3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6A2A5D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P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5AD3" w:rsidRPr="005B5AD3" w:rsidRDefault="005B5AD3" w:rsidP="005B5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</w:t>
            </w:r>
          </w:p>
        </w:tc>
      </w:tr>
      <w:tr w:rsidR="003B7070" w:rsidTr="000B3A9E">
        <w:tc>
          <w:tcPr>
            <w:tcW w:w="458" w:type="dxa"/>
          </w:tcPr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3B7070" w:rsidRPr="00010C29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охорони здоров’я та медичного забезпечення</w:t>
            </w:r>
          </w:p>
          <w:p w:rsidR="003B7070" w:rsidRPr="00032CE0" w:rsidRDefault="00CB7421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B7070" w:rsidRPr="00010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r w:rsidR="003B7070" w:rsidRPr="00032CE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="003B7070" w:rsidRPr="00032CE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="0003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Стратегічна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ціль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№ 1: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потребам,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986" w:rsidRPr="003B7070">
              <w:rPr>
                <w:rFonts w:ascii="Times New Roman" w:hAnsi="Times New Roman" w:cs="Times New Roman"/>
                <w:sz w:val="24"/>
                <w:szCs w:val="24"/>
              </w:rPr>
              <w:t>обгрунтованість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C2" w:rsidRPr="00A2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8B9" w:rsidRPr="003B7070" w:rsidRDefault="00ED38B9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2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  <w:p w:rsidR="00393CEE" w:rsidRPr="00393CEE" w:rsidRDefault="00393CEE" w:rsidP="00910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(комунальне некомерційне підприємство «Центр первинної медико-санітарної допомоги» міської ради, комунальне некомерційне підприємство «Новоград-Волинське міськрайонне тер</w:t>
            </w:r>
            <w:r w:rsidR="009108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иторіальне медичне об’єднання»</w:t>
            </w:r>
          </w:p>
        </w:tc>
        <w:tc>
          <w:tcPr>
            <w:tcW w:w="2155" w:type="dxa"/>
          </w:tcPr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7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EE" w:rsidRDefault="00393CEE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DC0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DC0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-березень 2023</w:t>
            </w:r>
          </w:p>
        </w:tc>
      </w:tr>
      <w:tr w:rsidR="003B7070" w:rsidTr="000B3A9E">
        <w:tc>
          <w:tcPr>
            <w:tcW w:w="458" w:type="dxa"/>
          </w:tcPr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3B7070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/-//-//-//-</w:t>
            </w:r>
          </w:p>
        </w:tc>
        <w:tc>
          <w:tcPr>
            <w:tcW w:w="4073" w:type="dxa"/>
          </w:tcPr>
          <w:p w:rsidR="003B7070" w:rsidRPr="003B7070" w:rsidRDefault="003B7070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стану доходності на основі дослідження звітності за 20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роки,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фінансових планів,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координації діяльності з розроблення та реалізації державних і місцевих цільових програм у 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медичній галузі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визначення пріоритетних напрямків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 галузі</w:t>
            </w:r>
          </w:p>
        </w:tc>
        <w:tc>
          <w:tcPr>
            <w:tcW w:w="2882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з питань охорони здоров’я та медичного забезпечення</w:t>
            </w:r>
          </w:p>
          <w:p w:rsidR="003B7070" w:rsidRDefault="00CB7421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 w:rsidR="00343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Default="00DC0CBA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3B7070" w:rsidRPr="003B7070" w:rsidTr="000B3A9E">
        <w:tc>
          <w:tcPr>
            <w:tcW w:w="458" w:type="dxa"/>
          </w:tcPr>
          <w:p w:rsidR="003B7070" w:rsidRPr="000B3A9E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3B7070" w:rsidRDefault="003B7070" w:rsidP="003B7070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тарифної політики та забезпечення на території громади реалізації державної політики у сфері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медичного обслуговування населення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організації заходів з його модернізації в частині надання методологічної підтримки </w:t>
            </w:r>
          </w:p>
        </w:tc>
        <w:tc>
          <w:tcPr>
            <w:tcW w:w="2882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3B7070" w:rsidRPr="003B7070" w:rsidRDefault="00CB7421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7070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70" w:rsidRPr="003B7070" w:rsidRDefault="003B7070" w:rsidP="003B70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1332F" w:rsidRPr="00342F27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Стратегічна ціль № </w:t>
            </w: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Підвищення ефективності моніторингу закупівель</w:t>
            </w:r>
          </w:p>
        </w:tc>
        <w:tc>
          <w:tcPr>
            <w:tcW w:w="4073" w:type="dxa"/>
          </w:tcPr>
          <w:p w:rsidR="00E1332F" w:rsidRPr="00342F27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фінансування, підстави для формування додаткових угод, моніторинг ціноутворення)</w:t>
            </w:r>
          </w:p>
        </w:tc>
        <w:tc>
          <w:tcPr>
            <w:tcW w:w="2882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E1332F" w:rsidRPr="00667886" w:rsidRDefault="00CB7421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332F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332F"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66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F66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F66B1B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1332F" w:rsidRPr="00342F27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контролю за збереженням структури та балансової вартості активів,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правильності здійснення видатків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джерел їх фінансування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підприємствах галузі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наявність джерел фінансування з 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авного та/або місцевих бюджетів, оцінка наявності та якості системи внутрішнього контролю</w:t>
            </w:r>
          </w:p>
          <w:p w:rsidR="009634FA" w:rsidRDefault="009634FA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342F27" w:rsidRDefault="00ED38B9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фінансових планів на предмет актуальності, 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відповідності штатних розписів вимогам  законодавства</w:t>
            </w:r>
            <w:r w:rsidR="00343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перевірка  відсутності </w:t>
            </w: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фактів  утримання понадштатних чи понаднормативних посад працівників</w:t>
            </w:r>
          </w:p>
        </w:tc>
        <w:tc>
          <w:tcPr>
            <w:tcW w:w="2882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з питань охорони здоров’я та медичного забезпечення</w:t>
            </w:r>
          </w:p>
          <w:p w:rsidR="00E1332F" w:rsidRDefault="00E1332F" w:rsidP="00E1332F"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F66B1B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1332F" w:rsidRPr="008014E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1332F" w:rsidRDefault="00E1332F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підприємств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медичної 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сфери 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громади, моніторинг взаєморозрахунків, перевірка проектно-кошторисної документації на предмет наявності належних експертних висновків, відповідності ПКД чинним нормам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</w:t>
            </w:r>
          </w:p>
          <w:p w:rsidR="00E1332F" w:rsidRPr="00667886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підпорядковані комунальні підприємства</w:t>
            </w:r>
          </w:p>
        </w:tc>
        <w:tc>
          <w:tcPr>
            <w:tcW w:w="2155" w:type="dxa"/>
          </w:tcPr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3B7070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Pr="003B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1332F" w:rsidRPr="003B7070" w:rsidTr="000B3A9E">
        <w:tc>
          <w:tcPr>
            <w:tcW w:w="458" w:type="dxa"/>
          </w:tcPr>
          <w:p w:rsidR="00E1332F" w:rsidRPr="000B3A9E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1332F" w:rsidRPr="004C360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3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освіти і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1332F" w:rsidRPr="00541513" w:rsidRDefault="00E1332F" w:rsidP="00E13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1332F" w:rsidRPr="004E6B57" w:rsidRDefault="00E1332F" w:rsidP="00E1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E1332F" w:rsidRPr="00BB4415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нтованість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,відповідність заходів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Програмам </w:t>
            </w:r>
          </w:p>
        </w:tc>
        <w:tc>
          <w:tcPr>
            <w:tcW w:w="2882" w:type="dxa"/>
          </w:tcPr>
          <w:p w:rsidR="00E1332F" w:rsidRPr="007C3D95" w:rsidRDefault="00E1332F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="00C76B2B"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підпорядковані установи та заклади</w:t>
            </w:r>
          </w:p>
        </w:tc>
        <w:tc>
          <w:tcPr>
            <w:tcW w:w="2155" w:type="dxa"/>
          </w:tcPr>
          <w:p w:rsidR="00E1332F" w:rsidRP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332F" w:rsidRP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4E6B57" w:rsidRDefault="00E5791E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лютий-березень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штатних розписів вимогам  національного законодавства (Наказ Мінфіну №57 зі змінами, постанова КМУ № 228 тощо)</w:t>
            </w:r>
            <w:r w:rsidRPr="00D3042E">
              <w:rPr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порядку складання та затвердження штатних розписів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фактів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понадштатних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понаднормативних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періодичність атестації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</w:t>
            </w:r>
          </w:p>
        </w:tc>
        <w:tc>
          <w:tcPr>
            <w:tcW w:w="2882" w:type="dxa"/>
          </w:tcPr>
          <w:p w:rsidR="00C76B2B" w:rsidRDefault="00C76B2B" w:rsidP="00C76B2B"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освіти і науки</w:t>
            </w:r>
            <w:r w:rsidRPr="002C6020">
              <w:t xml:space="preserve"> </w:t>
            </w:r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E5791E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  <w:r w:rsidR="00C76B2B"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</w:t>
            </w: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BB4415" w:rsidRDefault="00C76B2B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C76B2B" w:rsidRPr="00766E0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обліково-регламентних документів (накази про облікову політику, тощо),перевірка достовірності фінансової звітності</w:t>
            </w:r>
          </w:p>
        </w:tc>
        <w:tc>
          <w:tcPr>
            <w:tcW w:w="2882" w:type="dxa"/>
          </w:tcPr>
          <w:p w:rsidR="00C76B2B" w:rsidRDefault="00C76B2B" w:rsidP="00C76B2B"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2C6020">
              <w:t xml:space="preserve"> </w:t>
            </w:r>
            <w:r w:rsidRPr="002C6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C76B2B" w:rsidRDefault="00C76B2B" w:rsidP="00C76B2B"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9638C4">
              <w:t xml:space="preserve"> </w:t>
            </w:r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C76B2B" w:rsidRPr="004E6B57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підприємств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освітньої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моніторинг взаєморозрахунків, перевірка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предмет наявності експертних висновків, відповідності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-кошторисної документації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C76B2B" w:rsidRDefault="00C76B2B" w:rsidP="00C76B2B"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9638C4">
              <w:t xml:space="preserve"> </w:t>
            </w:r>
            <w:r w:rsidRPr="009638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541513" w:rsidRDefault="00C76B2B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C76B2B" w:rsidRPr="00541513" w:rsidRDefault="00C76B2B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джерела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укладення додаткових угод, перевірка тендерної документації та регламентних документів  із закупівель, моніторинг 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C76B2B" w:rsidRDefault="00C76B2B" w:rsidP="00C76B2B"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</w:t>
            </w:r>
            <w:r w:rsidRPr="00D52754">
              <w:t xml:space="preserve"> </w:t>
            </w:r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C76B2B" w:rsidRPr="003B7070" w:rsidTr="000B3A9E">
        <w:tc>
          <w:tcPr>
            <w:tcW w:w="458" w:type="dxa"/>
          </w:tcPr>
          <w:p w:rsidR="00C76B2B" w:rsidRPr="000B3A9E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76B2B" w:rsidRPr="004C360F" w:rsidRDefault="00C76B2B" w:rsidP="00C7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контролю»  </w:t>
            </w:r>
          </w:p>
        </w:tc>
        <w:tc>
          <w:tcPr>
            <w:tcW w:w="4073" w:type="dxa"/>
          </w:tcPr>
          <w:p w:rsidR="00C76B2B" w:rsidRPr="00541513" w:rsidRDefault="00C76B2B" w:rsidP="00C7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контролю за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некомерційних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 освіти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882" w:type="dxa"/>
          </w:tcPr>
          <w:p w:rsidR="00C76B2B" w:rsidRDefault="00C76B2B" w:rsidP="00C76B2B"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освіти і науки</w:t>
            </w:r>
            <w:r w:rsidRPr="00D52754">
              <w:t xml:space="preserve"> </w:t>
            </w:r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ради, </w:t>
            </w:r>
            <w:r w:rsidRPr="00D5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підпорядковані установи та заклади</w:t>
            </w:r>
          </w:p>
        </w:tc>
        <w:tc>
          <w:tcPr>
            <w:tcW w:w="2155" w:type="dxa"/>
          </w:tcPr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Pr="00E1332F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B2B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C76B2B" w:rsidRPr="00F50222" w:rsidRDefault="00C76B2B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A9E" w:rsidRPr="00305144" w:rsidTr="000B3A9E">
        <w:tc>
          <w:tcPr>
            <w:tcW w:w="458" w:type="dxa"/>
          </w:tcPr>
          <w:p w:rsidR="00963F34" w:rsidRDefault="00963F34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</w:tcPr>
          <w:p w:rsidR="00963F34" w:rsidRPr="00305144" w:rsidRDefault="00305144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 w:rsid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  <w:r w:rsidR="00CC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екології міської ради 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7" w:type="dxa"/>
          </w:tcPr>
          <w:p w:rsidR="00963F34" w:rsidRPr="00305144" w:rsidRDefault="00305144" w:rsidP="0030514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</w:t>
            </w:r>
            <w:r w:rsidR="00342F27"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</w:t>
            </w:r>
            <w:r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атегічна ціль № </w:t>
            </w: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 розпорядників  та отримувачів коштів»</w:t>
            </w:r>
          </w:p>
        </w:tc>
        <w:tc>
          <w:tcPr>
            <w:tcW w:w="4073" w:type="dxa"/>
          </w:tcPr>
          <w:p w:rsidR="00963F34" w:rsidRPr="00305144" w:rsidRDefault="00342F27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підприємств житлово-комунальної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сфери 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Звягельсь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кої </w:t>
            </w:r>
            <w:r w:rsid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оніторинг взаєморозрахунків</w:t>
            </w:r>
            <w:r w:rsid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проектно-кошторисної </w:t>
            </w:r>
            <w:r w:rsid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документації на предмет наявності </w:t>
            </w:r>
            <w:r w:rsid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належних експертних</w:t>
            </w:r>
            <w:r w:rsid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висновків, відповідності ПКД чинним нормам національного законодавства, оцінка ходу виконання та фінансування робіт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963F34" w:rsidRP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та екології міської ради</w:t>
            </w:r>
            <w:r w:rsidR="00305144" w:rsidRPr="007C3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комунальні підприємства громади</w:t>
            </w:r>
          </w:p>
        </w:tc>
        <w:tc>
          <w:tcPr>
            <w:tcW w:w="2155" w:type="dxa"/>
          </w:tcPr>
          <w:p w:rsidR="00342F27" w:rsidRDefault="00D636A5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="00305144"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342F27" w:rsidRDefault="00342F27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321" w:rsidRDefault="000A3321" w:rsidP="003F2081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F34" w:rsidRPr="00305144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="00D6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7C3D95" w:rsidTr="000B3A9E">
        <w:tc>
          <w:tcPr>
            <w:tcW w:w="458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1:</w:t>
            </w:r>
            <w:r w:rsidRPr="00342F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ефективності , результативності та якості виконання завдань, функцій, бюджетних програм,  ступеня виконання і досягнення цілей на противагу нарощуванню  кількості перевірок та  збільшенню виявлення порушень</w:t>
            </w:r>
          </w:p>
        </w:tc>
        <w:tc>
          <w:tcPr>
            <w:tcW w:w="4073" w:type="dxa"/>
          </w:tcPr>
          <w:p w:rsidR="007C3D95" w:rsidRPr="00305144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ефективності бюджетних програм (правильність планування,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відповідність реальним потреб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ам, соціальна та економічна обґру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нтованість  планових показників,</w:t>
            </w:r>
            <w:r w:rsidR="00E1332F" w:rsidRPr="00E1332F">
              <w:rPr>
                <w:lang w:val="uk-UA"/>
              </w:rPr>
              <w:t xml:space="preserve"> </w:t>
            </w:r>
            <w:r w:rsidR="00E1332F"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7C3D95" w:rsidRPr="00C76B2B" w:rsidRDefault="007C3D95" w:rsidP="00C76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3D95" w:rsidRPr="00D636A5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7C3D95" w:rsidTr="000B3A9E">
        <w:tc>
          <w:tcPr>
            <w:tcW w:w="458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</w:tcPr>
          <w:p w:rsidR="007C3D9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</w:tcPr>
          <w:p w:rsidR="007C3D95" w:rsidRPr="008A45F5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//-//-//-</w:t>
            </w:r>
          </w:p>
        </w:tc>
        <w:tc>
          <w:tcPr>
            <w:tcW w:w="4073" w:type="dxa"/>
          </w:tcPr>
          <w:p w:rsidR="007C3D95" w:rsidRPr="00305144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тарифної п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абезпечення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державної політики у сфері розвитку житлово-комунального господарства,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т.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заходів з його модернізації в частині надання методологічної підтримки ініціативним групам щодо створення об’єднань співвласників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багатоквартирних будинків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7C3D95" w:rsidRPr="007C3D95" w:rsidRDefault="007C3D95" w:rsidP="007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Default="00E1332F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1332F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3D95" w:rsidRPr="00D636A5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7C3D95" w:rsidRPr="00342F27" w:rsidTr="000B3A9E">
        <w:tc>
          <w:tcPr>
            <w:tcW w:w="458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//-//-//-</w:t>
            </w:r>
          </w:p>
        </w:tc>
        <w:tc>
          <w:tcPr>
            <w:tcW w:w="4073" w:type="dxa"/>
          </w:tcPr>
          <w:p w:rsidR="007C3D95" w:rsidRPr="00342F27" w:rsidRDefault="007C3D95" w:rsidP="007C3D9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стану доходності на основі дослі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дження звітності за 2019-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координації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з розроблення та реалізації державних і місцевих цільових програм у сфері житлово-комунального господарства, визначення пріорит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етних напрямків розвитку галузі</w:t>
            </w:r>
            <w:r w:rsid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332F" w:rsidRPr="00E1332F">
              <w:rPr>
                <w:lang w:val="uk-UA"/>
              </w:rPr>
              <w:t xml:space="preserve"> </w:t>
            </w:r>
            <w:r w:rsidR="00E1332F"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7C3D95" w:rsidRPr="007C3D95" w:rsidRDefault="007C3D95" w:rsidP="007C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332F" w:rsidRPr="00E1332F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3D95" w:rsidRPr="00D636A5" w:rsidRDefault="00E1332F" w:rsidP="00E13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342F27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Стратегічна ціль № </w:t>
            </w:r>
            <w:r w:rsidRPr="00FB13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проведення процедур закупівель (нормативні документи, плани закупівель та зміни до них, джерела фінансування, підстави для формування додаткових угод, моніторинг ціноутворення),</w:t>
            </w:r>
            <w:r w:rsidRPr="00E1332F">
              <w:rPr>
                <w:lang w:val="uk-UA"/>
              </w:rPr>
              <w:t xml:space="preserve"> 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7C3D9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342F27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4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Pr="0080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«Налагодження якісної системи внутрішнього контролю»  </w:t>
            </w:r>
          </w:p>
        </w:tc>
        <w:tc>
          <w:tcPr>
            <w:tcW w:w="4073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контролю за збереженням структури та балансової вартості активів,</w:t>
            </w:r>
            <w:r w:rsidRPr="00342F2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правильності здійснення видатків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джерел їх фінансування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підприємствах галузі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2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наявність джерел фінансування з 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авного та/або місцевих бюджетів, оцінка наявності та якості системи внутрішнього контролю,</w:t>
            </w:r>
            <w:r w:rsidRPr="00E1332F">
              <w:rPr>
                <w:lang w:val="uk-UA"/>
              </w:rPr>
              <w:t xml:space="preserve"> </w:t>
            </w:r>
            <w:r w:rsidRPr="00E13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врахування рекомендацій попередніх аудитів</w:t>
            </w:r>
          </w:p>
        </w:tc>
        <w:tc>
          <w:tcPr>
            <w:tcW w:w="2882" w:type="dxa"/>
          </w:tcPr>
          <w:p w:rsidR="00ED38B9" w:rsidRPr="007C3D9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C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сім’ї, молоді, 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9A25B4" w:rsidRPr="00541513" w:rsidRDefault="009A25B4" w:rsidP="009A2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9A25B4" w:rsidRPr="004E6B57" w:rsidRDefault="009A25B4" w:rsidP="009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9A25B4" w:rsidRPr="0076692C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обгрунтованість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програм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штатних розписів вимогам  національного законодавства (Наказ Мінфіну № 57 зі змінами,  Постанова КМУ № 228)</w:t>
            </w:r>
            <w:r w:rsidRPr="00D3042E">
              <w:rPr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порядку складання та затвердження штатних розписів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фактів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понадштатних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понаднормативних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періодичність атестації працівників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A25B4" w:rsidRPr="00766E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обліково-регламентних документів (накази про облікову політику, тощо),перевірка достовірності фінансової звітності, паспортів бюджетних програм, бюджетних запитів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моніторинг взаєморозрахунків, перевірка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предмет наявності експертних висновків, відповідності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-кошторисної документації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541513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9A25B4" w:rsidRPr="00541513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джерела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укладення додаткових угод, перевірка тендерної документації та регламентних документів  із закупівель, моніторинг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липень 2023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3B9D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4C360F" w:rsidRDefault="009A25B4" w:rsidP="009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контролю»  </w:t>
            </w:r>
          </w:p>
        </w:tc>
        <w:tc>
          <w:tcPr>
            <w:tcW w:w="4073" w:type="dxa"/>
          </w:tcPr>
          <w:p w:rsidR="009A25B4" w:rsidRPr="00541513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контролю за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некомерційних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закладах </w:t>
            </w:r>
            <w:r w:rsidRPr="00372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сім’ї, молоді, фізичної культури та спорту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882" w:type="dxa"/>
          </w:tcPr>
          <w:p w:rsidR="009A25B4" w:rsidRPr="004B4E1D" w:rsidRDefault="009A25B4" w:rsidP="009A25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43B9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Pr="00254302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</w:t>
            </w:r>
          </w:p>
        </w:tc>
      </w:tr>
      <w:tr w:rsidR="009A25B4" w:rsidRPr="00051E99" w:rsidTr="000B3A9E">
        <w:tc>
          <w:tcPr>
            <w:tcW w:w="458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A25B4" w:rsidRPr="00342F2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A25B4" w:rsidRPr="00541513" w:rsidRDefault="009A25B4" w:rsidP="009A25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9A25B4" w:rsidRPr="004E6B57" w:rsidRDefault="009A25B4" w:rsidP="009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9A25B4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я,відповідність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</w:t>
            </w:r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обгрунтованість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5B4" w:rsidRPr="000A3321" w:rsidRDefault="009A25B4" w:rsidP="009A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порядку нарахування та виплати матеріальної допомоги згідно звернень жителів громади</w:t>
            </w:r>
          </w:p>
        </w:tc>
        <w:tc>
          <w:tcPr>
            <w:tcW w:w="2882" w:type="dxa"/>
          </w:tcPr>
          <w:p w:rsidR="009A25B4" w:rsidRPr="004E6B57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5B4" w:rsidRDefault="009A25B4" w:rsidP="009A25B4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84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ED38B9" w:rsidRPr="004955F1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доходності за  рахунок платних послуг закладів,  інших джерел власних надходжень</w:t>
            </w:r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соціального захисту населення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штатних розписів вимогам  національного законодавства (Наказ Мінфіну № 57,  Постанова КМУ № 228)</w:t>
            </w:r>
            <w:r w:rsidRPr="00D3042E">
              <w:rPr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порядку складання та затвердження штатних розписів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перевірка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відсутності фактів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понадштатних 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понаднормативних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 працівників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766E02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наявності обліково-регламентних документів (накази про облікову політику, тощо),перевірка достовірності фінансової звітності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D38B9" w:rsidRPr="004E6B5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та закладів галузі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моніторинг взаєморозрахунків, перевірка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-кошторисної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предмет наявності експертних висновків, відповідності ПКД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FB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джерела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,правомірність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укладення додаткових угод, перевірка тендерної документації та регламентних документів  із закупівель, моніторинг ціноутворення</w:t>
            </w:r>
            <w:r w:rsidRPr="0054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2" w:type="dxa"/>
          </w:tcPr>
          <w:p w:rsidR="00ED38B9" w:rsidRPr="0096116B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C76B2B">
              <w:t xml:space="preserve"> </w:t>
            </w:r>
            <w:proofErr w:type="spellStart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C76B2B"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3B9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4C360F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контролю»  </w:t>
            </w:r>
          </w:p>
        </w:tc>
        <w:tc>
          <w:tcPr>
            <w:tcW w:w="4073" w:type="dxa"/>
          </w:tcPr>
          <w:p w:rsidR="00ED38B9" w:rsidRPr="00541513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контролю за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нарахування та перерахування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пільг,допомог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субсидій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882" w:type="dxa"/>
          </w:tcPr>
          <w:p w:rsidR="00ED38B9" w:rsidRPr="004B4E1D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6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E56E41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E56E41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E56E41" w:rsidRDefault="00C76B2B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76B2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55" w:type="dxa"/>
          </w:tcPr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D636A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управління культури і туризму міської ради </w:t>
            </w:r>
          </w:p>
        </w:tc>
        <w:tc>
          <w:tcPr>
            <w:tcW w:w="3287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1:</w:t>
            </w:r>
          </w:p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ED38B9" w:rsidRPr="009A25B4" w:rsidRDefault="00ED38B9" w:rsidP="00C15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доходності комунальних неприбуткових підприємств галузі у т. ч. за  рахунок платних послуг закладів,  інших джерел власних надходжень</w:t>
            </w:r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культури і туризму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233C2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9A25B4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бюджетних установ та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підприємств на предмет актуальності, відповідності штатних розписів вимогам  національного законодавства (Наказ Мінфіну № 57,  Постанова КМУ № 228) дотримання порядку складання та затвердження штатних розписів, перевірка  відсутності фактів  утримання понадштатних чи понаднормативних посад працівників,</w:t>
            </w:r>
            <w:r w:rsidR="00C15BCE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9A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="00ED38B9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грудень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9A25B4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обліково-регламентних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накази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політику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обсягів власних надходжень бюджетних установ, своєчасності нарахування орендної плати, достовірності оцінки об’єктів оренди, тощо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структури доходів та видатків установ та закладів галузі, моніторинг взаєморозрахунків, перевірка </w:t>
            </w:r>
            <w:r w:rsidR="00C15BCE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 на предмет наявності експертних висновків, відповідності ПКД чинним нормам національного законодавства, оцінка ходу виконання та фінансування робіт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і туризму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55" w:type="dxa"/>
          </w:tcPr>
          <w:p w:rsidR="00ED38B9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4</w:t>
            </w:r>
            <w:r w:rsidRPr="009A25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9A25B4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джерела фінансування,</w:t>
            </w:r>
            <w:r w:rsidR="00C15BCE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правомірність укладення додаткових угод, перевірка тендерної документації та регламентних документів  із закупівель, моніторинг цінотворення)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 культури і туризму міської ради</w:t>
            </w:r>
          </w:p>
        </w:tc>
        <w:tc>
          <w:tcPr>
            <w:tcW w:w="2155" w:type="dxa"/>
          </w:tcPr>
          <w:p w:rsidR="00ED38B9" w:rsidRPr="009A25B4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D38B9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ічень </w:t>
            </w:r>
            <w:r w:rsid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9A2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контролю»  </w:t>
            </w:r>
          </w:p>
        </w:tc>
        <w:tc>
          <w:tcPr>
            <w:tcW w:w="4073" w:type="dxa"/>
          </w:tcPr>
          <w:p w:rsidR="00ED38B9" w:rsidRPr="009A25B4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контролю за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нарахування та перерахування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пільг,допомог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субсидій</w:t>
            </w:r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та/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якості </w:t>
            </w:r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9A25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2882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 культури і туризму міської ради</w:t>
            </w:r>
          </w:p>
        </w:tc>
        <w:tc>
          <w:tcPr>
            <w:tcW w:w="2155" w:type="dxa"/>
          </w:tcPr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6C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9A25B4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6A2A5D" w:rsidRPr="009A2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інансового управління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287" w:type="dxa"/>
          </w:tcPr>
          <w:p w:rsidR="00ED38B9" w:rsidRPr="00541513" w:rsidRDefault="00ED38B9" w:rsidP="00ED38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ED38B9" w:rsidRPr="004E6B57" w:rsidRDefault="00ED38B9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противагу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нарощуванню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перевірок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збільшенню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B57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</w:p>
        </w:tc>
        <w:tc>
          <w:tcPr>
            <w:tcW w:w="4073" w:type="dxa"/>
          </w:tcPr>
          <w:p w:rsidR="00ED38B9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CB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виконання в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имог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звітності про виконання бюджетів; показників, затверджених розписом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предме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  обґрунтованості розрахунків, наявності та ефективності системи документообігу</w:t>
            </w:r>
          </w:p>
          <w:p w:rsidR="000A3321" w:rsidRPr="00531E44" w:rsidRDefault="000A3321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ймовірності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порушен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процесі контролю за бюджетними повноваженнями при зарахуванні надходжень бюджету та здійсненні платежів за бюджетними зобов'язаннями розпорядників бюджетних коштів від</w:t>
            </w:r>
            <w:r w:rsidR="0091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повідно до </w:t>
            </w:r>
            <w:r w:rsidR="0091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бюджетних асигнувань</w:t>
            </w:r>
          </w:p>
          <w:p w:rsidR="009170CC" w:rsidRPr="00531E44" w:rsidRDefault="009170CC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531E44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ймовірності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недотримання порядку казначейського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і місцевих бюджетів</w:t>
            </w:r>
          </w:p>
        </w:tc>
        <w:tc>
          <w:tcPr>
            <w:tcW w:w="2882" w:type="dxa"/>
          </w:tcPr>
          <w:p w:rsidR="00ED38B9" w:rsidRDefault="00ED38B9" w:rsidP="00C76B2B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</w:t>
            </w:r>
            <w:r w:rsidR="00963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управління</w:t>
            </w:r>
            <w:r w:rsidR="00C76B2B">
              <w:t xml:space="preserve"> </w:t>
            </w:r>
            <w:r w:rsidR="00C76B2B"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7D488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9634FA" w:rsidRPr="003B7070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фактів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нецільового використання бюджетних коштів або фактів зупинення операцій з бюджетними коштами, перевірка достовірності 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потреби в бюджетних коштах при складанні планових бюджетних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34FA" w:rsidRPr="00BB4415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9634FA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забезпечення реалізації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єдиної державної політики у сфері контролю за дотриманням бюджетного законодавства, координ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спрям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овування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органів виконавчої влади, за дотриманням бюджетного законодавства</w:t>
            </w:r>
          </w:p>
          <w:p w:rsidR="009170CC" w:rsidRPr="00531E44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 контролю</w:t>
            </w:r>
            <w:r w:rsidRPr="00531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дотриманням бюджетного законодавства на кожній стадії бюджетного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щодо місцевого бюджету в частині планової та звітної мережі </w:t>
            </w: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якості планування та відповідності планових показників за доходами і видатками фактичним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надходженням, перевірка обґрунтованості розрахунків</w:t>
            </w: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Правильність нарахування та виплати заробітної плати</w:t>
            </w:r>
          </w:p>
          <w:p w:rsidR="000A3321" w:rsidRDefault="000A3321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0A3321" w:rsidP="00A2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правильності відображення активів, контролю за їх збереженням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A233C2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</w:t>
            </w:r>
            <w:r w:rsidR="00A23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топад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9634FA" w:rsidRPr="00BB4415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7D488D" w:rsidRDefault="009634FA" w:rsidP="0096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1E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Стратегічна ціль № 2: «Розвиток напряму внутрішніх аудитів  з проведення  перевірок поточного та капітального будівництва  та цільового й ефективного використання матеріальних ресурсів розпорядників  та отримувачів коштів»</w:t>
            </w:r>
          </w:p>
        </w:tc>
        <w:tc>
          <w:tcPr>
            <w:tcW w:w="4073" w:type="dxa"/>
          </w:tcPr>
          <w:p w:rsidR="009170CC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роботи направленої на збільшення дохідної частини місцевого бюджету у в. ч. за рахунок перегляду ставок податків, зборів та провадження ініціатив стосовно моніторингу сплати з метою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нарощування обсягів надходжень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70CC" w:rsidRDefault="009170CC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платників у розрізі галузей та територій, а також у розрізі кодів класифікації доходів. Аналіз надходжень бюджету розвитку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3C2" w:rsidRDefault="00A233C2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9634FA" w:rsidRPr="00051E99" w:rsidTr="000B3A9E">
        <w:tc>
          <w:tcPr>
            <w:tcW w:w="458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9634FA" w:rsidRPr="00342F27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9634FA" w:rsidRPr="004C360F" w:rsidRDefault="009634FA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Стратегічна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</w:t>
            </w:r>
            <w:proofErr w:type="spellEnd"/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3:</w:t>
            </w:r>
            <w:r w:rsidRPr="00541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якісної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</w:tcPr>
          <w:p w:rsidR="009634FA" w:rsidRDefault="009634FA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за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збереженням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оплати праці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якості </w:t>
            </w:r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proofErr w:type="gram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541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  <w:p w:rsidR="009170CC" w:rsidRDefault="009170CC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CC" w:rsidRPr="00541513" w:rsidRDefault="009170CC" w:rsidP="0096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 запитів, паспортів бюджетних програм на предмет актуальності та </w:t>
            </w:r>
            <w:r w:rsidR="000A3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обґрунтованості</w:t>
            </w:r>
          </w:p>
        </w:tc>
        <w:tc>
          <w:tcPr>
            <w:tcW w:w="2882" w:type="dxa"/>
          </w:tcPr>
          <w:p w:rsidR="009634FA" w:rsidRDefault="00C76B2B" w:rsidP="009634FA"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2155" w:type="dxa"/>
          </w:tcPr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34FA" w:rsidRPr="007D488D" w:rsidRDefault="009634FA" w:rsidP="009634FA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051E9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7" w:type="dxa"/>
          </w:tcPr>
          <w:p w:rsidR="00ED38B9" w:rsidRPr="00BB441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Стратегічна ціль № 4:   Підвищення ефективності моніторингу закупівель</w:t>
            </w:r>
          </w:p>
        </w:tc>
        <w:tc>
          <w:tcPr>
            <w:tcW w:w="4073" w:type="dxa"/>
          </w:tcPr>
          <w:p w:rsidR="00ED38B9" w:rsidRPr="00BB4415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проведення процедур закупівель (нормативні документи, плани закупівель та зміни до них, </w:t>
            </w: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джерела фінансування,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правомірність укладення додаткових угод,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4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тендерної документації та регламентних документів  із закупівель, моніторинг цінотворення)</w:t>
            </w:r>
          </w:p>
        </w:tc>
        <w:tc>
          <w:tcPr>
            <w:tcW w:w="2882" w:type="dxa"/>
          </w:tcPr>
          <w:p w:rsidR="00ED38B9" w:rsidRPr="00BB4415" w:rsidRDefault="00C76B2B" w:rsidP="00ED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Фінансове управління міської ради</w:t>
            </w:r>
          </w:p>
        </w:tc>
        <w:tc>
          <w:tcPr>
            <w:tcW w:w="2155" w:type="dxa"/>
          </w:tcPr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5B5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Pr="007D488D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ED38B9" w:rsidRPr="00ED38B9" w:rsidTr="000B3A9E">
        <w:tc>
          <w:tcPr>
            <w:tcW w:w="458" w:type="dxa"/>
          </w:tcPr>
          <w:p w:rsidR="00ED38B9" w:rsidRPr="00342F27" w:rsidRDefault="00ED38B9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9" w:type="dxa"/>
          </w:tcPr>
          <w:p w:rsidR="00ED38B9" w:rsidRPr="00342F27" w:rsidRDefault="00516821" w:rsidP="00FB54D5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підсумків. 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річного звіту про роботу відділу внутрішнього аудиту міської ради,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 усунення порушень,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3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та якісний аналіз зміни підходів до  управління активами</w:t>
            </w:r>
            <w:r w:rsidR="00FB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загалом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 обліку</w:t>
            </w:r>
            <w:r w:rsidR="006C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головними розпорядниками та отримувачами коштів бюджету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3287" w:type="dxa"/>
          </w:tcPr>
          <w:p w:rsidR="00ED38B9" w:rsidRPr="00BB4415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</w:tcPr>
          <w:p w:rsidR="00ED38B9" w:rsidRPr="00BB4415" w:rsidRDefault="00ED38B9" w:rsidP="00ED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</w:tcPr>
          <w:p w:rsidR="00ED38B9" w:rsidRDefault="00ED38B9" w:rsidP="00ED3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A233C2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38B9" w:rsidRDefault="00A233C2" w:rsidP="00ED38B9">
            <w:pPr>
              <w:tabs>
                <w:tab w:val="left" w:pos="64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FB5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рудень </w:t>
            </w:r>
            <w:r w:rsidR="006A2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</w:tbl>
    <w:p w:rsidR="00B739C3" w:rsidRDefault="00B739C3" w:rsidP="002416BF">
      <w:pPr>
        <w:tabs>
          <w:tab w:val="left" w:pos="13665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A45F5" w:rsidRDefault="000E1AB3" w:rsidP="00B8269A">
      <w:pPr>
        <w:tabs>
          <w:tab w:val="left" w:pos="13665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0E1AB3" w:rsidRPr="002416BF" w:rsidRDefault="000E1AB3" w:rsidP="000E1AB3">
      <w:pPr>
        <w:tabs>
          <w:tab w:val="left" w:pos="13170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ДОЛЯ</w:t>
      </w:r>
      <w:bookmarkStart w:id="0" w:name="_GoBack"/>
      <w:bookmarkEnd w:id="0"/>
    </w:p>
    <w:sectPr w:rsidR="000E1AB3" w:rsidRPr="002416BF" w:rsidSect="006874A6">
      <w:pgSz w:w="16838" w:h="11906" w:orient="landscape"/>
      <w:pgMar w:top="850" w:right="28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5F1E"/>
    <w:multiLevelType w:val="hybridMultilevel"/>
    <w:tmpl w:val="B00437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14F9"/>
    <w:multiLevelType w:val="hybridMultilevel"/>
    <w:tmpl w:val="7986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0"/>
    <w:rsid w:val="00010C29"/>
    <w:rsid w:val="00021B3F"/>
    <w:rsid w:val="00032762"/>
    <w:rsid w:val="00032CE0"/>
    <w:rsid w:val="00051E99"/>
    <w:rsid w:val="00075C1F"/>
    <w:rsid w:val="000772AD"/>
    <w:rsid w:val="000A3321"/>
    <w:rsid w:val="000B3A9E"/>
    <w:rsid w:val="000D0747"/>
    <w:rsid w:val="000E1AB3"/>
    <w:rsid w:val="00161BF9"/>
    <w:rsid w:val="001F0295"/>
    <w:rsid w:val="001F4F9F"/>
    <w:rsid w:val="00235D8D"/>
    <w:rsid w:val="002416BF"/>
    <w:rsid w:val="00243501"/>
    <w:rsid w:val="00250B49"/>
    <w:rsid w:val="002C29C4"/>
    <w:rsid w:val="002E5AA2"/>
    <w:rsid w:val="002F62E0"/>
    <w:rsid w:val="00305144"/>
    <w:rsid w:val="00342F27"/>
    <w:rsid w:val="00343986"/>
    <w:rsid w:val="00343B9D"/>
    <w:rsid w:val="00365E42"/>
    <w:rsid w:val="003724D4"/>
    <w:rsid w:val="00393CEE"/>
    <w:rsid w:val="003A23D8"/>
    <w:rsid w:val="003B7070"/>
    <w:rsid w:val="003F2081"/>
    <w:rsid w:val="004653E2"/>
    <w:rsid w:val="00484074"/>
    <w:rsid w:val="004955F1"/>
    <w:rsid w:val="004A1D77"/>
    <w:rsid w:val="004B4E1D"/>
    <w:rsid w:val="004C297B"/>
    <w:rsid w:val="004C360F"/>
    <w:rsid w:val="004E6B57"/>
    <w:rsid w:val="00516821"/>
    <w:rsid w:val="00531E44"/>
    <w:rsid w:val="00541513"/>
    <w:rsid w:val="00566765"/>
    <w:rsid w:val="0056792B"/>
    <w:rsid w:val="00573E84"/>
    <w:rsid w:val="005B0730"/>
    <w:rsid w:val="005B5AD3"/>
    <w:rsid w:val="0062640D"/>
    <w:rsid w:val="00671E59"/>
    <w:rsid w:val="006874A6"/>
    <w:rsid w:val="006A1A67"/>
    <w:rsid w:val="006A2A5D"/>
    <w:rsid w:val="006C3412"/>
    <w:rsid w:val="007321C9"/>
    <w:rsid w:val="0076692C"/>
    <w:rsid w:val="00766E02"/>
    <w:rsid w:val="007C3D95"/>
    <w:rsid w:val="007D488D"/>
    <w:rsid w:val="008014EE"/>
    <w:rsid w:val="00845D8F"/>
    <w:rsid w:val="008A2823"/>
    <w:rsid w:val="008A45F5"/>
    <w:rsid w:val="008F2809"/>
    <w:rsid w:val="00910887"/>
    <w:rsid w:val="009170CC"/>
    <w:rsid w:val="00955302"/>
    <w:rsid w:val="0096116B"/>
    <w:rsid w:val="009634FA"/>
    <w:rsid w:val="00963F34"/>
    <w:rsid w:val="0098601E"/>
    <w:rsid w:val="009A25B4"/>
    <w:rsid w:val="00A233C2"/>
    <w:rsid w:val="00AD5B16"/>
    <w:rsid w:val="00AE268E"/>
    <w:rsid w:val="00B0628A"/>
    <w:rsid w:val="00B739C3"/>
    <w:rsid w:val="00B8269A"/>
    <w:rsid w:val="00BB4415"/>
    <w:rsid w:val="00BF247E"/>
    <w:rsid w:val="00C15BCE"/>
    <w:rsid w:val="00C20E7F"/>
    <w:rsid w:val="00C50BE6"/>
    <w:rsid w:val="00C55193"/>
    <w:rsid w:val="00C76B2B"/>
    <w:rsid w:val="00C8210D"/>
    <w:rsid w:val="00CA789D"/>
    <w:rsid w:val="00CB4D52"/>
    <w:rsid w:val="00CB7421"/>
    <w:rsid w:val="00CC5C2A"/>
    <w:rsid w:val="00CC7985"/>
    <w:rsid w:val="00CE62AE"/>
    <w:rsid w:val="00D12DC9"/>
    <w:rsid w:val="00D3042E"/>
    <w:rsid w:val="00D36431"/>
    <w:rsid w:val="00D44D88"/>
    <w:rsid w:val="00D636A5"/>
    <w:rsid w:val="00DC0CBA"/>
    <w:rsid w:val="00DF1F43"/>
    <w:rsid w:val="00E0735A"/>
    <w:rsid w:val="00E1332F"/>
    <w:rsid w:val="00E219ED"/>
    <w:rsid w:val="00E52FA3"/>
    <w:rsid w:val="00E56E41"/>
    <w:rsid w:val="00E5791E"/>
    <w:rsid w:val="00ED38B9"/>
    <w:rsid w:val="00EE4EB0"/>
    <w:rsid w:val="00EF11BB"/>
    <w:rsid w:val="00F41EF6"/>
    <w:rsid w:val="00F611D8"/>
    <w:rsid w:val="00F8241A"/>
    <w:rsid w:val="00F93DF8"/>
    <w:rsid w:val="00FB1356"/>
    <w:rsid w:val="00FB54D5"/>
    <w:rsid w:val="00FD41B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5F5C"/>
  <w15:docId w15:val="{EA9EDDC0-4FB2-4BAC-B5CD-4FFEC909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F611D8"/>
  </w:style>
  <w:style w:type="character" w:styleId="a3">
    <w:name w:val="Hyperlink"/>
    <w:basedOn w:val="a0"/>
    <w:uiPriority w:val="99"/>
    <w:semiHidden/>
    <w:unhideWhenUsed/>
    <w:rsid w:val="00F611D8"/>
    <w:rPr>
      <w:color w:val="0000FF"/>
      <w:u w:val="single"/>
    </w:rPr>
  </w:style>
  <w:style w:type="paragraph" w:styleId="a4">
    <w:name w:val="No Spacing"/>
    <w:uiPriority w:val="1"/>
    <w:qFormat/>
    <w:rsid w:val="00021B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1F43"/>
    <w:pPr>
      <w:ind w:left="720"/>
      <w:contextualSpacing/>
    </w:pPr>
  </w:style>
  <w:style w:type="table" w:styleId="a6">
    <w:name w:val="Table Grid"/>
    <w:basedOn w:val="a1"/>
    <w:uiPriority w:val="59"/>
    <w:rsid w:val="0096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D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19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85</cp:revision>
  <cp:lastPrinted>2023-01-31T12:47:00Z</cp:lastPrinted>
  <dcterms:created xsi:type="dcterms:W3CDTF">2021-02-02T18:01:00Z</dcterms:created>
  <dcterms:modified xsi:type="dcterms:W3CDTF">2023-02-01T14:40:00Z</dcterms:modified>
</cp:coreProperties>
</file>