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AF3F11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C2020D" w:rsidRDefault="00AF3F11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 до</w:t>
      </w:r>
      <w:r w:rsidR="00C9556C">
        <w:rPr>
          <w:rFonts w:ascii="Times New Roman" w:hAnsi="Times New Roman" w:cs="Times New Roman"/>
          <w:sz w:val="28"/>
          <w:szCs w:val="28"/>
        </w:rPr>
        <w:t xml:space="preserve"> </w:t>
      </w:r>
      <w:r w:rsidR="00C2020D"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     Керуючись статтею 25, пунктом 22 частини першої статті 26</w:t>
      </w:r>
      <w:r w:rsidR="002A2EF1">
        <w:rPr>
          <w:szCs w:val="28"/>
        </w:rPr>
        <w:t xml:space="preserve">, </w:t>
      </w:r>
      <w:r w:rsidR="002A2EF1">
        <w:rPr>
          <w:color w:val="000000"/>
          <w:szCs w:val="28"/>
          <w:shd w:val="clear" w:color="auto" w:fill="FFFFFF"/>
        </w:rPr>
        <w:t>частиною другою статті 64</w:t>
      </w:r>
      <w:r w:rsidRPr="00C2020D">
        <w:rPr>
          <w:szCs w:val="28"/>
        </w:rPr>
        <w:t xml:space="preserve"> Закону України „Про місцеве самоврядування в</w:t>
      </w:r>
      <w:r w:rsidR="002A2EF1">
        <w:rPr>
          <w:szCs w:val="28"/>
        </w:rPr>
        <w:t xml:space="preserve"> Україні“, </w:t>
      </w:r>
      <w:r w:rsidR="00137511">
        <w:rPr>
          <w:color w:val="000000"/>
          <w:szCs w:val="28"/>
        </w:rPr>
        <w:t>з метою</w:t>
      </w:r>
      <w:r w:rsidR="00137511" w:rsidRPr="00702044">
        <w:rPr>
          <w:szCs w:val="28"/>
        </w:rPr>
        <w:t xml:space="preserve"> вдосконалення механізму надання піл</w:t>
      </w:r>
      <w:r w:rsidR="00DD487F">
        <w:rPr>
          <w:szCs w:val="28"/>
        </w:rPr>
        <w:t>ьг громадянам міської</w:t>
      </w:r>
      <w:r w:rsidR="00137511" w:rsidRPr="00702044">
        <w:rPr>
          <w:szCs w:val="28"/>
        </w:rPr>
        <w:t xml:space="preserve"> територіальної громади,</w:t>
      </w:r>
      <w:r w:rsidR="006B4880">
        <w:rPr>
          <w:szCs w:val="28"/>
        </w:rPr>
        <w:t xml:space="preserve"> </w:t>
      </w:r>
      <w:r w:rsidRPr="00C2020D">
        <w:rPr>
          <w:szCs w:val="28"/>
        </w:rPr>
        <w:t>міська рада</w:t>
      </w: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</w:p>
    <w:p w:rsidR="00C2020D" w:rsidRPr="00C2020D" w:rsidRDefault="00C2020D" w:rsidP="00C2020D">
      <w:pPr>
        <w:pStyle w:val="a3"/>
        <w:tabs>
          <w:tab w:val="left" w:pos="360"/>
        </w:tabs>
        <w:rPr>
          <w:szCs w:val="28"/>
        </w:rPr>
      </w:pPr>
      <w:r w:rsidRPr="00C2020D">
        <w:rPr>
          <w:szCs w:val="28"/>
        </w:rPr>
        <w:t xml:space="preserve">ВИРІШИЛА: </w:t>
      </w:r>
    </w:p>
    <w:p w:rsidR="00404A4B" w:rsidRDefault="00F15170" w:rsidP="00404A4B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 w:rsidR="00404A4B">
        <w:rPr>
          <w:rFonts w:ascii="Times New Roman" w:hAnsi="Times New Roman" w:cs="Times New Roman"/>
          <w:color w:val="000000"/>
          <w:spacing w:val="-5"/>
          <w:sz w:val="28"/>
          <w:szCs w:val="28"/>
        </w:rPr>
        <w:t>1. Внести зміни</w:t>
      </w:r>
      <w:r w:rsidR="00C2020D"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 </w:t>
      </w:r>
      <w:r w:rsidR="00C2020D" w:rsidRPr="00C2020D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роки“, затвердженої</w:t>
      </w:r>
      <w:r w:rsidR="00C2020D" w:rsidRPr="00C202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рішенням міської ради від 21.10.2021 №326 </w:t>
      </w:r>
      <w:r w:rsidR="00C2020D" w:rsidRPr="00C2020D">
        <w:rPr>
          <w:rFonts w:ascii="Times New Roman" w:hAnsi="Times New Roman" w:cs="Times New Roman"/>
          <w:sz w:val="28"/>
          <w:szCs w:val="28"/>
        </w:rPr>
        <w:t>(далі – Програма), а саме:</w:t>
      </w:r>
    </w:p>
    <w:p w:rsidR="00404A4B" w:rsidRPr="00137511" w:rsidRDefault="00404A4B" w:rsidP="0013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11">
        <w:rPr>
          <w:rFonts w:ascii="Times New Roman" w:hAnsi="Times New Roman" w:cs="Times New Roman"/>
          <w:sz w:val="28"/>
          <w:szCs w:val="28"/>
        </w:rPr>
        <w:t xml:space="preserve">      1.1. </w:t>
      </w:r>
      <w:r w:rsidRPr="0013751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Доповнити</w:t>
      </w:r>
      <w:r w:rsidRPr="00137511">
        <w:rPr>
          <w:rFonts w:ascii="Times New Roman" w:hAnsi="Times New Roman" w:cs="Times New Roman"/>
          <w:sz w:val="28"/>
          <w:szCs w:val="28"/>
        </w:rPr>
        <w:t xml:space="preserve"> Програму розділом </w:t>
      </w:r>
      <w:r w:rsidRPr="00137511">
        <w:rPr>
          <w:rFonts w:ascii="Times New Roman" w:hAnsi="Times New Roman" w:cs="Times New Roman"/>
          <w:color w:val="000000"/>
          <w:sz w:val="28"/>
          <w:szCs w:val="28"/>
        </w:rPr>
        <w:t>VІІІ-І</w:t>
      </w:r>
      <w:r w:rsidR="00137511" w:rsidRPr="00137511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137511">
        <w:rPr>
          <w:rFonts w:ascii="Times New Roman" w:hAnsi="Times New Roman" w:cs="Times New Roman"/>
          <w:sz w:val="28"/>
          <w:szCs w:val="28"/>
        </w:rPr>
        <w:t>. ,,</w:t>
      </w:r>
      <w:r w:rsidR="00137511" w:rsidRPr="0013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A205F3" w:rsidRPr="00B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37511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 оплати послуг зв’язку окремим категоріям громадян</w:t>
      </w:r>
      <w:r w:rsidRPr="00137511">
        <w:rPr>
          <w:rFonts w:ascii="Times New Roman" w:hAnsi="Times New Roman" w:cs="Times New Roman"/>
          <w:sz w:val="28"/>
          <w:szCs w:val="28"/>
        </w:rPr>
        <w:t xml:space="preserve">“, що додається. </w:t>
      </w:r>
    </w:p>
    <w:p w:rsidR="00C1098A" w:rsidRPr="00137511" w:rsidRDefault="00436AAA" w:rsidP="0013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="00C1098A" w:rsidRPr="00137511">
        <w:rPr>
          <w:rFonts w:ascii="Times New Roman" w:hAnsi="Times New Roman" w:cs="Times New Roman"/>
          <w:sz w:val="28"/>
          <w:szCs w:val="28"/>
        </w:rPr>
        <w:t xml:space="preserve">. </w:t>
      </w:r>
      <w:r w:rsidR="00C1098A" w:rsidRPr="0013751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Доповнити</w:t>
      </w:r>
      <w:r w:rsidR="00C1098A" w:rsidRPr="00137511">
        <w:rPr>
          <w:rFonts w:ascii="Times New Roman" w:hAnsi="Times New Roman" w:cs="Times New Roman"/>
          <w:sz w:val="28"/>
          <w:szCs w:val="28"/>
        </w:rPr>
        <w:t xml:space="preserve"> Програму розділом </w:t>
      </w:r>
      <w:r w:rsidR="00C1098A" w:rsidRPr="00137511">
        <w:rPr>
          <w:rFonts w:ascii="Times New Roman" w:hAnsi="Times New Roman" w:cs="Times New Roman"/>
          <w:color w:val="000000"/>
          <w:sz w:val="28"/>
          <w:szCs w:val="28"/>
        </w:rPr>
        <w:t>VІІІ-І</w:t>
      </w:r>
      <w:r>
        <w:rPr>
          <w:rFonts w:ascii="Times New Roman" w:hAnsi="Times New Roman" w:cs="Times New Roman"/>
          <w:color w:val="000000"/>
          <w:sz w:val="28"/>
          <w:szCs w:val="28"/>
        </w:rPr>
        <w:t>ІІ</w:t>
      </w:r>
      <w:r w:rsidR="00C1098A" w:rsidRPr="00137511">
        <w:rPr>
          <w:rFonts w:ascii="Times New Roman" w:hAnsi="Times New Roman" w:cs="Times New Roman"/>
          <w:sz w:val="28"/>
          <w:szCs w:val="28"/>
        </w:rPr>
        <w:t xml:space="preserve">. ,,Порядок надання </w:t>
      </w:r>
      <w:r w:rsidR="00C1098A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>пільг зі сплат</w:t>
      </w:r>
      <w:r w:rsidR="00CB5748"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="00C1098A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бюджету міської територіальної г</w:t>
      </w:r>
      <w:r w:rsidR="005C60E7">
        <w:rPr>
          <w:rStyle w:val="rvts7"/>
          <w:rFonts w:ascii="Times New Roman" w:hAnsi="Times New Roman" w:cs="Times New Roman"/>
          <w:color w:val="000000"/>
          <w:sz w:val="28"/>
          <w:szCs w:val="28"/>
        </w:rPr>
        <w:t>ромади Почесним громадянам</w:t>
      </w:r>
      <w:r w:rsidR="00C1098A" w:rsidRPr="00137511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098A" w:rsidRPr="00137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="00C1098A" w:rsidRPr="00137511">
        <w:rPr>
          <w:rFonts w:ascii="Times New Roman" w:hAnsi="Times New Roman" w:cs="Times New Roman"/>
          <w:sz w:val="28"/>
          <w:szCs w:val="28"/>
        </w:rPr>
        <w:t xml:space="preserve">“, що додається. </w:t>
      </w:r>
    </w:p>
    <w:p w:rsidR="00C2020D" w:rsidRPr="00C2020D" w:rsidRDefault="00F15170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09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</w:t>
      </w:r>
      <w:proofErr w:type="gramStart"/>
      <w:r w:rsidR="00C2020D" w:rsidRPr="00C2020D">
        <w:rPr>
          <w:rFonts w:ascii="Times New Roman" w:hAnsi="Times New Roman" w:cs="Times New Roman"/>
          <w:sz w:val="28"/>
          <w:szCs w:val="28"/>
        </w:rPr>
        <w:t>на  постійну</w:t>
      </w:r>
      <w:proofErr w:type="gramEnd"/>
      <w:r w:rsidR="00C2020D" w:rsidRPr="00C2020D">
        <w:rPr>
          <w:rFonts w:ascii="Times New Roman" w:hAnsi="Times New Roman" w:cs="Times New Roman"/>
          <w:sz w:val="28"/>
          <w:szCs w:val="28"/>
        </w:rPr>
        <w:t xml:space="preserve"> комісію міської ради з питань соціальної політики, охорони здоров’я, освіти, культури та спорту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C2020D" w:rsidRPr="00C2020D">
        <w:rPr>
          <w:rFonts w:ascii="Times New Roman" w:hAnsi="Times New Roman" w:cs="Times New Roman"/>
          <w:bCs/>
          <w:sz w:val="28"/>
          <w:szCs w:val="28"/>
        </w:rPr>
        <w:t>Широкопояс</w:t>
      </w:r>
      <w:proofErr w:type="spellEnd"/>
      <w:r w:rsidR="00C2020D" w:rsidRPr="00C2020D">
        <w:rPr>
          <w:rFonts w:ascii="Times New Roman" w:hAnsi="Times New Roman" w:cs="Times New Roman"/>
          <w:bCs/>
          <w:sz w:val="28"/>
          <w:szCs w:val="28"/>
        </w:rPr>
        <w:t xml:space="preserve"> О.Ю.</w:t>
      </w:r>
      <w:r w:rsidR="00C2020D" w:rsidRPr="00C2020D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C2020D" w:rsidRPr="00C2020D">
        <w:rPr>
          <w:rFonts w:ascii="Times New Roman" w:hAnsi="Times New Roman" w:cs="Times New Roman"/>
          <w:sz w:val="28"/>
          <w:szCs w:val="28"/>
        </w:rPr>
        <w:t xml:space="preserve"> та заступника міського голови </w:t>
      </w:r>
      <w:proofErr w:type="spellStart"/>
      <w:r w:rsidR="00C2020D" w:rsidRPr="00C2020D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="00C2020D" w:rsidRPr="00C2020D">
        <w:rPr>
          <w:rFonts w:ascii="Times New Roman" w:hAnsi="Times New Roman" w:cs="Times New Roman"/>
          <w:sz w:val="28"/>
          <w:szCs w:val="28"/>
        </w:rPr>
        <w:t> І.Л.</w:t>
      </w: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</w:t>
      </w:r>
      <w:r w:rsidR="00731960">
        <w:rPr>
          <w:szCs w:val="28"/>
        </w:rPr>
        <w:t xml:space="preserve">                            </w:t>
      </w:r>
      <w:r w:rsidRPr="00C2020D">
        <w:rPr>
          <w:szCs w:val="28"/>
        </w:rPr>
        <w:t xml:space="preserve">                                     Микола БОРОВЕЦЬ                                                           </w:t>
      </w: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574096" w:rsidRDefault="00574096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574096" w:rsidRDefault="00574096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B5748" w:rsidRDefault="00CB5748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B5748" w:rsidRDefault="00CB5748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436AAA" w:rsidRPr="00C2020D" w:rsidRDefault="00436AAA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B5368D" w:rsidRPr="00B5368D" w:rsidRDefault="00B5368D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Додаток </w:t>
      </w:r>
    </w:p>
    <w:p w:rsidR="00B5368D" w:rsidRPr="00B5368D" w:rsidRDefault="00B5368D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до рішення міської ради</w:t>
      </w:r>
    </w:p>
    <w:p w:rsidR="00B5368D" w:rsidRPr="00B5368D" w:rsidRDefault="00B5368D" w:rsidP="00B536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3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від                        № </w:t>
      </w:r>
    </w:p>
    <w:p w:rsidR="00B5368D" w:rsidRPr="00B5368D" w:rsidRDefault="00B5368D" w:rsidP="00B5368D">
      <w:pPr>
        <w:pStyle w:val="a3"/>
        <w:rPr>
          <w:szCs w:val="28"/>
        </w:rPr>
      </w:pPr>
    </w:p>
    <w:p w:rsidR="00B5368D" w:rsidRPr="00B5368D" w:rsidRDefault="00436AAA" w:rsidP="00B5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ІІІ-ІІ. </w:t>
      </w:r>
      <w:r w:rsidR="00A205F3">
        <w:rPr>
          <w:rFonts w:ascii="Times New Roman" w:hAnsi="Times New Roman" w:cs="Times New Roman"/>
          <w:sz w:val="28"/>
          <w:szCs w:val="28"/>
        </w:rPr>
        <w:t>ПО</w:t>
      </w:r>
      <w:r w:rsidR="00A205F3" w:rsidRPr="00BE03B7">
        <w:rPr>
          <w:rFonts w:ascii="Times New Roman" w:hAnsi="Times New Roman" w:cs="Times New Roman"/>
          <w:sz w:val="28"/>
          <w:szCs w:val="28"/>
          <w:lang w:val="ru-RU"/>
        </w:rPr>
        <w:t>РЯДОК</w:t>
      </w:r>
      <w:r w:rsidR="00B5368D" w:rsidRPr="00B5368D">
        <w:rPr>
          <w:rFonts w:ascii="Times New Roman" w:hAnsi="Times New Roman" w:cs="Times New Roman"/>
          <w:sz w:val="28"/>
          <w:szCs w:val="28"/>
        </w:rPr>
        <w:br/>
      </w:r>
      <w:r w:rsidR="00B5368D" w:rsidRPr="00B5368D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 оплати послуг зв’язку окремим категоріям громадян</w:t>
      </w:r>
    </w:p>
    <w:p w:rsidR="00B5368D" w:rsidRPr="00B5368D" w:rsidRDefault="00B5368D" w:rsidP="00B53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68D" w:rsidRPr="00B5368D" w:rsidRDefault="009B5F4F" w:rsidP="00B5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Порядок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</w:t>
      </w:r>
      <w:r w:rsidR="00B5368D" w:rsidRPr="00B5368D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 оплати послуг зв’язку окремим категоріям громадян</w:t>
      </w:r>
      <w:r>
        <w:rPr>
          <w:rFonts w:ascii="Times New Roman" w:hAnsi="Times New Roman" w:cs="Times New Roman"/>
          <w:sz w:val="28"/>
          <w:szCs w:val="28"/>
        </w:rPr>
        <w:t xml:space="preserve"> (надалі – Порядок</w:t>
      </w:r>
      <w:r w:rsidR="00B5368D" w:rsidRPr="00B5368D">
        <w:rPr>
          <w:rFonts w:ascii="Times New Roman" w:hAnsi="Times New Roman" w:cs="Times New Roman"/>
          <w:sz w:val="28"/>
          <w:szCs w:val="28"/>
        </w:rPr>
        <w:t>)</w:t>
      </w:r>
      <w:r w:rsidR="00B5368D" w:rsidRPr="00B536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5368D" w:rsidRPr="00B5368D">
        <w:rPr>
          <w:rFonts w:ascii="Times New Roman" w:hAnsi="Times New Roman" w:cs="Times New Roman"/>
          <w:sz w:val="28"/>
          <w:szCs w:val="28"/>
        </w:rPr>
        <w:t>визначає порядок надання за рахунок коштів бюджету міської територіальної громади пільг окремим категоріям громадян, передбаченим актами законодавства України, які зареєстровані</w:t>
      </w:r>
      <w:r w:rsidR="00A205F3">
        <w:rPr>
          <w:rFonts w:ascii="Times New Roman" w:hAnsi="Times New Roman" w:cs="Times New Roman"/>
          <w:sz w:val="28"/>
          <w:szCs w:val="28"/>
        </w:rPr>
        <w:t xml:space="preserve"> 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B5368D" w:rsidRPr="00B5368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B5368D" w:rsidRPr="00B5368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зі сплати за послуги зв’язку, що надаються </w:t>
      </w:r>
      <w:r w:rsidR="00A034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підприємством (підприємствами) зв’язку</w:t>
      </w:r>
      <w:r w:rsidR="00B5368D" w:rsidRPr="00B5368D">
        <w:rPr>
          <w:rFonts w:ascii="Times New Roman" w:hAnsi="Times New Roman" w:cs="Times New Roman"/>
          <w:sz w:val="28"/>
          <w:szCs w:val="28"/>
        </w:rPr>
        <w:t>.</w:t>
      </w:r>
    </w:p>
    <w:p w:rsidR="00FC74C6" w:rsidRDefault="009B5F4F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Дія Порядку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поширюється на 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осіб,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яким надаються пільги з послуг зв’язку згідно актів законодавства України: Законів України “Про статус ветеранів війни, гарантії їх соціального захисту”, “Про соціальний і правовий захист військовослужбовців та членів їх сімей”, “Про статус і соціальний захист громадян, які постраждали внаслідок Чорнобильської катастрофи”, “Про охорону дитинства”, “Про основні засади соціального захисту ветеранів праці та інших громадян похилого віку в Україні”, “Про жертви нацистських переслідувань”, “Про реабілітацію жертв репресій комуністичного тоталітарного режиму 1917 – 1991 років”, 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захист”. Пільги з оплати послуг зв’язку надаються в розмірах та на умовах, визначених актами законодавства України, зазначених у цьому пункті. Пільги з оплати послуг зв’язку надаються громадянам за місцем реєстрації в будь-якому населеному пункті </w:t>
      </w:r>
      <w:proofErr w:type="spellStart"/>
      <w:r w:rsidR="00B5368D" w:rsidRPr="00B5368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B5368D" w:rsidRPr="00B5368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 </w:t>
      </w:r>
    </w:p>
    <w:p w:rsidR="00B5368D" w:rsidRPr="00B5368D" w:rsidRDefault="00FC74C6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Пільги з оплати послуг зв’язку надаються у випадку, якщо рахунок на оплату послуг зв’язку відкрито на ім’я особи, яка має право на пільги згідно з цим Порядком.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68D" w:rsidRPr="00B5368D" w:rsidRDefault="00B5368D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68D">
        <w:rPr>
          <w:rFonts w:ascii="Times New Roman" w:hAnsi="Times New Roman" w:cs="Times New Roman"/>
          <w:sz w:val="28"/>
          <w:szCs w:val="28"/>
        </w:rPr>
        <w:t>3. Головним розпорядником коштів, передбачених для нада</w:t>
      </w:r>
      <w:r w:rsidR="009B5F4F">
        <w:rPr>
          <w:rFonts w:ascii="Times New Roman" w:hAnsi="Times New Roman" w:cs="Times New Roman"/>
          <w:sz w:val="28"/>
          <w:szCs w:val="28"/>
        </w:rPr>
        <w:t>ння пільг згідно цього Порядку</w:t>
      </w:r>
      <w:r w:rsidRPr="00B5368D">
        <w:rPr>
          <w:rFonts w:ascii="Times New Roman" w:hAnsi="Times New Roman" w:cs="Times New Roman"/>
          <w:sz w:val="28"/>
          <w:szCs w:val="28"/>
        </w:rPr>
        <w:t>, є управління соціального захисту населення міської ради. Пільги, передбачен</w:t>
      </w:r>
      <w:r w:rsidR="009B5F4F">
        <w:rPr>
          <w:rFonts w:ascii="Times New Roman" w:hAnsi="Times New Roman" w:cs="Times New Roman"/>
          <w:sz w:val="28"/>
          <w:szCs w:val="28"/>
        </w:rPr>
        <w:t>і цим Порядком</w:t>
      </w:r>
      <w:r w:rsidRPr="00B5368D">
        <w:rPr>
          <w:rFonts w:ascii="Times New Roman" w:hAnsi="Times New Roman" w:cs="Times New Roman"/>
          <w:sz w:val="28"/>
          <w:szCs w:val="28"/>
        </w:rPr>
        <w:t>, надаються за наявності та в межах кошторисних призначень.</w:t>
      </w:r>
    </w:p>
    <w:p w:rsidR="00B5368D" w:rsidRPr="00B5368D" w:rsidRDefault="00A976E8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. </w:t>
      </w:r>
      <w:r w:rsidR="00AE06D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Підприємство, яке</w:t>
      </w:r>
      <w:bookmarkStart w:id="0" w:name="_GoBack"/>
      <w:bookmarkEnd w:id="0"/>
      <w:r w:rsidR="00A034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надає послуги зв’язку</w:t>
      </w:r>
      <w:r w:rsidR="00A034FC">
        <w:rPr>
          <w:rFonts w:ascii="Times New Roman" w:hAnsi="Times New Roman" w:cs="Times New Roman"/>
          <w:sz w:val="28"/>
          <w:szCs w:val="28"/>
        </w:rPr>
        <w:t xml:space="preserve"> (далі – Підприємство</w:t>
      </w:r>
      <w:r w:rsidR="00B5368D" w:rsidRPr="00B5368D">
        <w:rPr>
          <w:rFonts w:ascii="Times New Roman" w:hAnsi="Times New Roman" w:cs="Times New Roman"/>
          <w:sz w:val="28"/>
          <w:szCs w:val="28"/>
        </w:rPr>
        <w:t>) веде окремий облік пільговиків.</w:t>
      </w:r>
    </w:p>
    <w:p w:rsidR="00B5368D" w:rsidRPr="00B5368D" w:rsidRDefault="00A976E8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B5368D" w:rsidRPr="00B5368D">
        <w:rPr>
          <w:rFonts w:ascii="Times New Roman" w:hAnsi="Times New Roman" w:cs="Times New Roman"/>
          <w:sz w:val="28"/>
          <w:szCs w:val="28"/>
        </w:rPr>
        <w:t>. Управління соціального захисту населення міської ради (далі – головний розпорядник)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368D" w:rsidRPr="00F15170" w:rsidRDefault="00A976E8" w:rsidP="00B53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5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Щороку 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</w:rPr>
        <w:t xml:space="preserve">укладає 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договір про відшкодування витрат за надані пільги окремим категоріям громадян з оплати послуг зв’язку в </w:t>
      </w:r>
      <w:r w:rsidR="00A034FC">
        <w:rPr>
          <w:rFonts w:ascii="Times New Roman" w:hAnsi="Times New Roman" w:cs="Times New Roman"/>
          <w:color w:val="000000"/>
          <w:sz w:val="28"/>
          <w:szCs w:val="28"/>
        </w:rPr>
        <w:t>межах бюджетних призначень з Підприємством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68D" w:rsidRPr="00F15170" w:rsidRDefault="00A976E8" w:rsidP="00B53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.2. Щомісяця до 15 числа місяця, наступного за звітним, проводить зві</w:t>
      </w:r>
      <w:r w:rsidR="00A034FC">
        <w:rPr>
          <w:rFonts w:ascii="Times New Roman" w:hAnsi="Times New Roman" w:cs="Times New Roman"/>
          <w:color w:val="000000"/>
          <w:sz w:val="28"/>
          <w:szCs w:val="28"/>
        </w:rPr>
        <w:t>ряння інформації, зазначеної Підприємством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у Розрахунку видатків, або проводить звіряння іншим можливим способом.</w:t>
      </w:r>
    </w:p>
    <w:p w:rsidR="00B5368D" w:rsidRPr="00F15170" w:rsidRDefault="00A976E8" w:rsidP="00B536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.3. Щомісяця звіряє інформацію про пільговиків на предмет виявлення розбіжностей.</w:t>
      </w:r>
    </w:p>
    <w:p w:rsidR="00B5368D" w:rsidRPr="00F15170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5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.4. У разі виникнення розбіжностей  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 час звіряння інформації щодо загальної кількості пільговиків або розміру пільг, що надаються конкретному або</w:t>
      </w:r>
      <w:r w:rsidR="00A034F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ненту, направляє Підприємству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список пільговиків, по яких виникли розбіжності в процесі з</w:t>
      </w:r>
      <w:r w:rsidR="009B5F4F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віряння (Додаток №</w:t>
      </w:r>
      <w:r w:rsidR="00E91F9C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12</w:t>
      </w:r>
      <w:r w:rsidR="009B5F4F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) та не проводить розрахунків, що стосуються виявлених розбіжностей, до уточнення цієї інформації.</w:t>
      </w:r>
    </w:p>
    <w:p w:rsidR="00B5368D" w:rsidRPr="00F15170" w:rsidRDefault="00A976E8" w:rsidP="00B5368D">
      <w:pPr>
        <w:shd w:val="clear" w:color="auto" w:fill="FFFFFF"/>
        <w:tabs>
          <w:tab w:val="left" w:pos="0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A034FC">
        <w:rPr>
          <w:rFonts w:ascii="Times New Roman" w:hAnsi="Times New Roman" w:cs="Times New Roman"/>
          <w:color w:val="000000"/>
          <w:sz w:val="28"/>
          <w:szCs w:val="28"/>
        </w:rPr>
        <w:t>.5. Здійснює розрахунки з Підприємством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за послуги зв’язку, надані пільговим категоріям громадян у звітному місяці, в порядку та строки, визначені в договорі за результатами підписання акту звіряння розр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ахунків (Додаток №</w:t>
      </w:r>
      <w:r w:rsidR="00E91F9C" w:rsidRPr="00F1517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5368D" w:rsidRPr="00F15170" w:rsidRDefault="00A976E8" w:rsidP="00B5368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03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Підприємство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B5368D" w:rsidRPr="00F15170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.1. Надає пільги з послуг зв’язку пільговим категоріям громадян зг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ідно з пунктом 2 цього Порядку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68D" w:rsidRPr="00F15170" w:rsidRDefault="00A976E8" w:rsidP="00B53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.2. Щомісяця до 10 числа місяця, наступного за звітним, направляє на електронну адресу головного розпорядника розрахунок ви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датків (</w:t>
      </w:r>
      <w:r w:rsidR="00E91F9C" w:rsidRPr="00F15170">
        <w:rPr>
          <w:rFonts w:ascii="Times New Roman" w:hAnsi="Times New Roman" w:cs="Times New Roman"/>
          <w:color w:val="000000"/>
          <w:sz w:val="28"/>
          <w:szCs w:val="28"/>
        </w:rPr>
        <w:t>Додаток № 14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) в електронному форматі, щодо вартості наданих послуг  пільговим категоріям громадян у звітному місяці.</w:t>
      </w:r>
    </w:p>
    <w:p w:rsidR="00B5368D" w:rsidRPr="00F15170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.3. Проводить звіряння розрахунків за надані послуги зв’язку пільговим категоріям громадян, та щомісяця до 25 числа місяця, наступного за звітним, надає  головному </w:t>
      </w:r>
      <w:r w:rsidR="00B5368D" w:rsidRPr="00F1517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розпоряднику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акт звіряння розрахунків в електронному та паперовому 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>вигляді (Додаток №</w:t>
      </w:r>
      <w:r w:rsidR="00E91F9C" w:rsidRPr="00F1517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B5F4F" w:rsidRPr="00F15170">
        <w:rPr>
          <w:rFonts w:ascii="Times New Roman" w:hAnsi="Times New Roman" w:cs="Times New Roman"/>
          <w:color w:val="000000"/>
          <w:sz w:val="28"/>
          <w:szCs w:val="28"/>
        </w:rPr>
        <w:t xml:space="preserve"> до Програми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368D" w:rsidRPr="00B5368D" w:rsidRDefault="00A976E8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</w:t>
      </w:r>
      <w:r w:rsidR="00B5368D" w:rsidRPr="00F15170">
        <w:rPr>
          <w:rFonts w:ascii="Times New Roman" w:hAnsi="Times New Roman" w:cs="Times New Roman"/>
          <w:color w:val="000000"/>
          <w:sz w:val="28"/>
          <w:szCs w:val="28"/>
        </w:rPr>
        <w:t>.4. Своєчасно здійснює перерахунок нарахувань пільговим категоріям громадян на підставі наданих головним розпорядником даних щодо розбіжностей, виявлених під час звіряння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інформації, зазначеної у розрахунку видатків.</w:t>
      </w:r>
    </w:p>
    <w:p w:rsidR="00B5368D" w:rsidRPr="00B5368D" w:rsidRDefault="00A205F3" w:rsidP="00B5368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976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368D" w:rsidRPr="00B5368D">
        <w:rPr>
          <w:rFonts w:ascii="Times New Roman" w:hAnsi="Times New Roman" w:cs="Times New Roman"/>
          <w:color w:val="000000"/>
          <w:sz w:val="28"/>
          <w:szCs w:val="28"/>
        </w:rPr>
        <w:t>.5. Повідомляє головного розпорядника коштів про зміну тарифів.</w:t>
      </w:r>
    </w:p>
    <w:p w:rsidR="00B5368D" w:rsidRPr="00A205F3" w:rsidRDefault="00A976E8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68D" w:rsidRPr="00B5368D">
        <w:rPr>
          <w:rFonts w:ascii="Times New Roman" w:hAnsi="Times New Roman" w:cs="Times New Roman"/>
          <w:sz w:val="28"/>
          <w:szCs w:val="28"/>
        </w:rPr>
        <w:t>. Особи, перед</w:t>
      </w:r>
      <w:r w:rsidR="009B5F4F">
        <w:rPr>
          <w:rFonts w:ascii="Times New Roman" w:hAnsi="Times New Roman" w:cs="Times New Roman"/>
          <w:sz w:val="28"/>
          <w:szCs w:val="28"/>
        </w:rPr>
        <w:t>бачені пунктом 2 цього Порядку</w:t>
      </w:r>
      <w:r w:rsidR="00B5368D" w:rsidRPr="00B5368D">
        <w:rPr>
          <w:rFonts w:ascii="Times New Roman" w:hAnsi="Times New Roman" w:cs="Times New Roman"/>
          <w:sz w:val="28"/>
          <w:szCs w:val="28"/>
        </w:rPr>
        <w:t xml:space="preserve">, мають право на отримання пільг </w:t>
      </w:r>
      <w:r w:rsidR="00B5368D" w:rsidRPr="00B5368D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B5368D" w:rsidRPr="00A205F3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оплати послуг зв’язку, за рахунок коштів бюджету міської територіальної громади </w:t>
      </w:r>
      <w:r w:rsidR="00B5368D" w:rsidRPr="00A2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дати звернення до управління соціального захисту населення міської ради та до </w:t>
      </w:r>
      <w:r w:rsidR="00A034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Підприємства</w:t>
      </w:r>
      <w:r w:rsidR="00B5368D" w:rsidRPr="00A20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68D" w:rsidRPr="00B5368D" w:rsidRDefault="00B5368D" w:rsidP="00B5368D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n421"/>
      <w:bookmarkStart w:id="2" w:name="n422"/>
      <w:bookmarkEnd w:id="1"/>
      <w:bookmarkEnd w:id="2"/>
    </w:p>
    <w:p w:rsidR="00B5368D" w:rsidRDefault="00B5368D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26" w:rsidRDefault="00C74026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26" w:rsidRPr="004757AE" w:rsidRDefault="00C74026" w:rsidP="00C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ІІІ-ІІІ. ПОРЯДОК</w:t>
      </w:r>
      <w:r>
        <w:rPr>
          <w:rFonts w:ascii="Times New Roman" w:hAnsi="Times New Roman" w:cs="Times New Roman"/>
          <w:sz w:val="28"/>
          <w:szCs w:val="28"/>
        </w:rPr>
        <w:br/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зі сплат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бюджету міської територіальної грома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ди 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</w:p>
    <w:p w:rsidR="00C74026" w:rsidRPr="004757AE" w:rsidRDefault="00C74026" w:rsidP="00C7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26" w:rsidRPr="004757AE" w:rsidRDefault="00C74026" w:rsidP="00C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Порядок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>надання пільг зі сплат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</w:t>
      </w:r>
      <w:r w:rsidRPr="004757AE">
        <w:rPr>
          <w:rFonts w:ascii="Times New Roman" w:hAnsi="Times New Roman" w:cs="Times New Roman"/>
          <w:sz w:val="28"/>
          <w:szCs w:val="28"/>
        </w:rPr>
        <w:t>бюджету міської територіальної громади особам з інвалідн</w:t>
      </w:r>
      <w:r>
        <w:rPr>
          <w:rFonts w:ascii="Times New Roman" w:hAnsi="Times New Roman" w:cs="Times New Roman"/>
          <w:sz w:val="28"/>
          <w:szCs w:val="28"/>
        </w:rPr>
        <w:t>істю по зору (надалі – Порядок</w:t>
      </w:r>
      <w:r w:rsidRPr="004757AE">
        <w:rPr>
          <w:rFonts w:ascii="Times New Roman" w:hAnsi="Times New Roman" w:cs="Times New Roman"/>
          <w:sz w:val="28"/>
          <w:szCs w:val="28"/>
        </w:rPr>
        <w:t>)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57AE">
        <w:rPr>
          <w:rFonts w:ascii="Times New Roman" w:hAnsi="Times New Roman" w:cs="Times New Roman"/>
          <w:sz w:val="28"/>
          <w:szCs w:val="28"/>
        </w:rPr>
        <w:t>визначає порядок наданн</w:t>
      </w:r>
      <w:r>
        <w:rPr>
          <w:rFonts w:ascii="Times New Roman" w:hAnsi="Times New Roman" w:cs="Times New Roman"/>
          <w:sz w:val="28"/>
          <w:szCs w:val="28"/>
        </w:rPr>
        <w:t xml:space="preserve">я пільг 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>, які зареєстровані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757AE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Pr="004757AE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зі сплати за житлово-комунальні послуги, що надаються суб’єктами господарювання ус</w:t>
      </w:r>
      <w:r>
        <w:rPr>
          <w:rFonts w:ascii="Times New Roman" w:hAnsi="Times New Roman" w:cs="Times New Roman"/>
          <w:sz w:val="28"/>
          <w:szCs w:val="28"/>
        </w:rPr>
        <w:t>іх форм власності</w:t>
      </w:r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Дія Порядку</w:t>
      </w:r>
      <w:r w:rsidRPr="004757AE">
        <w:rPr>
          <w:rFonts w:ascii="Times New Roman" w:hAnsi="Times New Roman" w:cs="Times New Roman"/>
          <w:sz w:val="28"/>
          <w:szCs w:val="28"/>
        </w:rPr>
        <w:t xml:space="preserve"> поширюється на мешканців </w:t>
      </w:r>
      <w:proofErr w:type="spellStart"/>
      <w:r w:rsidRPr="004757AE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які відносятьс</w:t>
      </w:r>
      <w:r>
        <w:rPr>
          <w:rFonts w:ascii="Times New Roman" w:hAnsi="Times New Roman" w:cs="Times New Roman"/>
          <w:sz w:val="28"/>
          <w:szCs w:val="28"/>
        </w:rPr>
        <w:t xml:space="preserve">я до Почесних громадян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 xml:space="preserve">3. Право на отримання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>пільг зі сплат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>и за житлово-комунальні послуги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за рахунок коштів </w:t>
      </w:r>
      <w:r w:rsidRPr="004757AE">
        <w:rPr>
          <w:rFonts w:ascii="Times New Roman" w:hAnsi="Times New Roman" w:cs="Times New Roman"/>
          <w:sz w:val="28"/>
          <w:szCs w:val="28"/>
        </w:rPr>
        <w:t>бюджету міської територіальної громади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 надаєть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57AE">
        <w:rPr>
          <w:rFonts w:ascii="Times New Roman" w:hAnsi="Times New Roman" w:cs="Times New Roman"/>
          <w:sz w:val="28"/>
          <w:szCs w:val="28"/>
        </w:rPr>
        <w:t>за місцем реєстрації або фактичного проживанн</w:t>
      </w:r>
      <w:r>
        <w:rPr>
          <w:rFonts w:ascii="Times New Roman" w:hAnsi="Times New Roman" w:cs="Times New Roman"/>
          <w:sz w:val="28"/>
          <w:szCs w:val="28"/>
        </w:rPr>
        <w:t>я в межах</w:t>
      </w:r>
      <w:r w:rsidRPr="0047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7AE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4. Пільги на житлово-комунальні 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AE">
        <w:rPr>
          <w:rFonts w:ascii="Times New Roman" w:hAnsi="Times New Roman" w:cs="Times New Roman"/>
          <w:sz w:val="28"/>
          <w:szCs w:val="28"/>
        </w:rPr>
        <w:t>надаються в межах норм, передбачених постановою Кабінету Міністрів України від 06.08.2014 №409 “</w:t>
      </w:r>
      <w:r w:rsidRPr="004757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встановлення державних соціальних стандартів у сфері житлово-комунального обслуговування”</w:t>
      </w:r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 xml:space="preserve">5. Для отримання пільг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зі сплати за житлово-комунальні послуги, за рахунок коштів бюджету міської територіальної громади </w:t>
      </w:r>
      <w:r w:rsidRPr="004757AE">
        <w:rPr>
          <w:rFonts w:ascii="Times New Roman" w:hAnsi="Times New Roman" w:cs="Times New Roman"/>
          <w:sz w:val="28"/>
          <w:szCs w:val="28"/>
        </w:rPr>
        <w:t>особи, зазначені у пункті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57AE">
        <w:rPr>
          <w:rFonts w:ascii="Times New Roman" w:hAnsi="Times New Roman" w:cs="Times New Roman"/>
          <w:sz w:val="28"/>
          <w:szCs w:val="28"/>
        </w:rPr>
        <w:t>2</w:t>
      </w:r>
      <w:r w:rsidRPr="004757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цього Порядку</w:t>
      </w:r>
      <w:r w:rsidRPr="004757AE">
        <w:rPr>
          <w:rFonts w:ascii="Times New Roman" w:hAnsi="Times New Roman" w:cs="Times New Roman"/>
          <w:sz w:val="28"/>
          <w:szCs w:val="28"/>
        </w:rPr>
        <w:t>, подають в управління соціального захисту населення міської ради такі документи: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5.1. Заява.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5.2. Ксерокопія паспорта (</w:t>
      </w:r>
      <w:r w:rsidRPr="004757A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57AE">
        <w:rPr>
          <w:rFonts w:ascii="Times New Roman" w:hAnsi="Times New Roman" w:cs="Times New Roman"/>
          <w:sz w:val="28"/>
          <w:szCs w:val="28"/>
        </w:rPr>
        <w:t>-картки) заявника.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5.3. Ксерокопія реєстраційного номера облікової картки платника податків (крім осіб, які у встановленому порядку відмовились від присвоєння РНОКПП).</w:t>
      </w:r>
    </w:p>
    <w:p w:rsidR="00C74026" w:rsidRPr="00774042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042">
        <w:rPr>
          <w:rStyle w:val="apple-converted-space"/>
          <w:rFonts w:ascii="Times New Roman" w:hAnsi="Times New Roman" w:cs="Times New Roman"/>
          <w:sz w:val="28"/>
          <w:szCs w:val="28"/>
        </w:rPr>
        <w:t>5.4. </w:t>
      </w:r>
      <w:r w:rsidRPr="00774042">
        <w:rPr>
          <w:rFonts w:ascii="Times New Roman" w:hAnsi="Times New Roman" w:cs="Times New Roman"/>
          <w:sz w:val="28"/>
          <w:szCs w:val="28"/>
        </w:rPr>
        <w:t>Копія посвідче</w:t>
      </w:r>
      <w:r>
        <w:rPr>
          <w:rFonts w:ascii="Times New Roman" w:hAnsi="Times New Roman" w:cs="Times New Roman"/>
          <w:sz w:val="28"/>
          <w:szCs w:val="28"/>
        </w:rPr>
        <w:t xml:space="preserve">ння Почесного громадянина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774042">
        <w:rPr>
          <w:rStyle w:val="rvts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Pr="0047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Виплатні реквізити поточного рахунку, відкритого в установі банку.</w:t>
      </w:r>
    </w:p>
    <w:p w:rsidR="00C74026" w:rsidRPr="004757AE" w:rsidRDefault="00C74026" w:rsidP="00C74026">
      <w:pPr>
        <w:spacing w:after="0" w:line="240" w:lineRule="auto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6. Під час подання копій документів заявники надають їх оригінали для огляду та засвідчення їх копій.</w:t>
      </w:r>
    </w:p>
    <w:p w:rsidR="00C74026" w:rsidRPr="00D66EEB" w:rsidRDefault="00C74026" w:rsidP="00C7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D66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Виплата пільги здійснюється</w:t>
      </w:r>
      <w:r w:rsidRPr="00D66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готівковій формі.</w:t>
      </w:r>
    </w:p>
    <w:p w:rsidR="00C74026" w:rsidRPr="009D2D8C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57AE">
        <w:rPr>
          <w:rFonts w:ascii="Times New Roman" w:hAnsi="Times New Roman" w:cs="Times New Roman"/>
          <w:sz w:val="28"/>
          <w:szCs w:val="28"/>
        </w:rPr>
        <w:t>. Пільг</w:t>
      </w:r>
      <w:r>
        <w:rPr>
          <w:rFonts w:ascii="Times New Roman" w:hAnsi="Times New Roman" w:cs="Times New Roman"/>
          <w:sz w:val="28"/>
          <w:szCs w:val="28"/>
        </w:rPr>
        <w:t>и на житлово-комунальні послуги</w:t>
      </w:r>
      <w:r w:rsidRPr="00475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надаються </w:t>
      </w:r>
      <w:r w:rsidRPr="009D2D8C">
        <w:rPr>
          <w:rFonts w:ascii="Times New Roman" w:hAnsi="Times New Roman" w:cs="Times New Roman"/>
          <w:sz w:val="28"/>
          <w:szCs w:val="28"/>
        </w:rPr>
        <w:t xml:space="preserve">у розмірі 50 % їх вартості в межах соціальних норм </w:t>
      </w:r>
      <w:r w:rsidRPr="009D2D8C">
        <w:rPr>
          <w:rFonts w:ascii="Times New Roman" w:hAnsi="Times New Roman" w:cs="Times New Roman"/>
          <w:color w:val="000000" w:themeColor="text1"/>
          <w:sz w:val="28"/>
          <w:szCs w:val="28"/>
        </w:rPr>
        <w:t>за умови, що особа або члени її сім’ї не користуються аналогічними пільгами на інших підставах</w:t>
      </w:r>
      <w:r w:rsidRPr="009D2D8C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Почесні громадяни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 xml:space="preserve"> мають право на отримання пільг </w:t>
      </w:r>
      <w:r w:rsidRPr="004757AE">
        <w:rPr>
          <w:rStyle w:val="rvts7"/>
          <w:rFonts w:ascii="Times New Roman" w:hAnsi="Times New Roman" w:cs="Times New Roman"/>
          <w:color w:val="000000"/>
          <w:sz w:val="28"/>
          <w:szCs w:val="28"/>
        </w:rPr>
        <w:t xml:space="preserve">зі сплати за житлово-комунальні послуги, за рахунок коштів бюджету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з місяця</w:t>
      </w:r>
      <w:r w:rsidRPr="004757AE">
        <w:rPr>
          <w:rFonts w:ascii="Times New Roman" w:hAnsi="Times New Roman" w:cs="Times New Roman"/>
          <w:sz w:val="28"/>
          <w:szCs w:val="28"/>
        </w:rPr>
        <w:t xml:space="preserve"> звернення до управління соціального захисту населення міс</w:t>
      </w:r>
      <w:r>
        <w:rPr>
          <w:rFonts w:ascii="Times New Roman" w:hAnsi="Times New Roman" w:cs="Times New Roman"/>
          <w:sz w:val="28"/>
          <w:szCs w:val="28"/>
        </w:rPr>
        <w:t>ької ради</w:t>
      </w:r>
      <w:r w:rsidRPr="004757AE">
        <w:rPr>
          <w:rFonts w:ascii="Times New Roman" w:hAnsi="Times New Roman" w:cs="Times New Roman"/>
          <w:sz w:val="28"/>
          <w:szCs w:val="28"/>
        </w:rPr>
        <w:t>.</w:t>
      </w:r>
    </w:p>
    <w:p w:rsidR="00C74026" w:rsidRPr="004757AE" w:rsidRDefault="00C74026" w:rsidP="00C74026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7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Почесним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Звягеля</w:t>
      </w:r>
      <w:proofErr w:type="spellEnd"/>
      <w:r w:rsidRPr="004757AE">
        <w:rPr>
          <w:rFonts w:ascii="Times New Roman" w:hAnsi="Times New Roman" w:cs="Times New Roman"/>
          <w:sz w:val="28"/>
          <w:szCs w:val="28"/>
        </w:rPr>
        <w:t xml:space="preserve"> надаються такі пільги: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 xml:space="preserve">   1) 50-процентна знижка плати за користування житлом (квартирна плата) в межах норм, передбачених чинним законодавством (21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 xml:space="preserve">. метр загальної площі житла на кожну особу, яка постійно проживає у житловому приміщенні (будинку) і має право на знижку плати, та додатково 10,5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>. метра на сім'ю);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 xml:space="preserve">  2) 50-процентна знижка плати за користування комунальними послугами (газом, електроенергією та іншими послугами).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 xml:space="preserve">Площа житла, на яку надається знижка, при розрахунках плати за опалення становить 21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 xml:space="preserve">. метр опалювальної площі на кожну особу, яка постійно проживає у житловому приміщенні (будинку) і має право на знижку плати, та додатково 10,5 </w:t>
      </w:r>
      <w:proofErr w:type="spellStart"/>
      <w:r w:rsidRPr="004757AE">
        <w:rPr>
          <w:color w:val="000000"/>
          <w:sz w:val="28"/>
          <w:szCs w:val="28"/>
          <w:lang w:val="uk-UA"/>
        </w:rPr>
        <w:t>кв</w:t>
      </w:r>
      <w:proofErr w:type="spellEnd"/>
      <w:r w:rsidRPr="004757AE">
        <w:rPr>
          <w:color w:val="000000"/>
          <w:sz w:val="28"/>
          <w:szCs w:val="28"/>
          <w:lang w:val="uk-UA"/>
        </w:rPr>
        <w:t>. метра на сім'ю.</w:t>
      </w:r>
    </w:p>
    <w:p w:rsidR="00C74026" w:rsidRPr="004757AE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>Пільги щодо плати за житлово-комунальні послуги, передбачені цим пунктом, надаються особам, на яких пош</w:t>
      </w:r>
      <w:r>
        <w:rPr>
          <w:color w:val="000000"/>
          <w:sz w:val="28"/>
          <w:szCs w:val="28"/>
          <w:lang w:val="uk-UA"/>
        </w:rPr>
        <w:t>ирюється чинність цього Порядку</w:t>
      </w:r>
      <w:r w:rsidRPr="004757AE">
        <w:rPr>
          <w:color w:val="000000"/>
          <w:sz w:val="28"/>
          <w:szCs w:val="28"/>
          <w:lang w:val="uk-UA"/>
        </w:rPr>
        <w:t>, незалежно від виду житла чи форми власності на нього.</w:t>
      </w:r>
    </w:p>
    <w:p w:rsidR="00C74026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4757AE">
        <w:rPr>
          <w:color w:val="000000"/>
          <w:sz w:val="28"/>
          <w:szCs w:val="28"/>
          <w:lang w:val="uk-UA"/>
        </w:rPr>
        <w:t>Площа житла, на яку нараховується 50-процентна знижка плати, передбачена цим п</w:t>
      </w:r>
      <w:r>
        <w:rPr>
          <w:color w:val="000000"/>
          <w:sz w:val="28"/>
          <w:szCs w:val="28"/>
          <w:lang w:val="uk-UA"/>
        </w:rPr>
        <w:t xml:space="preserve">унктом, визначається </w:t>
      </w:r>
      <w:r w:rsidRPr="004757AE">
        <w:rPr>
          <w:color w:val="000000"/>
          <w:sz w:val="28"/>
          <w:szCs w:val="28"/>
          <w:lang w:val="uk-UA"/>
        </w:rPr>
        <w:t xml:space="preserve">в межах загальної площі житлового приміщення (будинку) згідно з нормами користування (споживання), </w:t>
      </w:r>
      <w:r w:rsidRPr="004757AE">
        <w:rPr>
          <w:color w:val="000000"/>
          <w:sz w:val="28"/>
          <w:szCs w:val="28"/>
          <w:lang w:val="uk-UA"/>
        </w:rPr>
        <w:lastRenderedPageBreak/>
        <w:t>встановленими цими пунктами, незалежно від наявності в складі сім'ї осіб, які не мають права на знижку плати.</w:t>
      </w:r>
    </w:p>
    <w:p w:rsidR="00C74026" w:rsidRPr="00236448" w:rsidRDefault="00C74026" w:rsidP="00C740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236448">
        <w:rPr>
          <w:color w:val="000000" w:themeColor="text1"/>
          <w:sz w:val="28"/>
          <w:szCs w:val="28"/>
          <w:lang w:val="uk-UA"/>
        </w:rPr>
        <w:t>Розрахунок суми пільги проводиться відповідно до норм та встановлених тарифів станом на 01 травня та 01 жовтня щороку, розрахунок пільг на електроенергію здійснюється за мінімальним тарифом.</w:t>
      </w:r>
    </w:p>
    <w:p w:rsidR="00C74026" w:rsidRPr="004757AE" w:rsidRDefault="00C74026" w:rsidP="00C74026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4757AE">
        <w:rPr>
          <w:rFonts w:ascii="Times New Roman" w:hAnsi="Times New Roman" w:cs="Times New Roman"/>
          <w:sz w:val="28"/>
          <w:szCs w:val="28"/>
        </w:rPr>
        <w:t>. Головним розпорядником коштів, передбачених для нада</w:t>
      </w:r>
      <w:r>
        <w:rPr>
          <w:rFonts w:ascii="Times New Roman" w:hAnsi="Times New Roman" w:cs="Times New Roman"/>
          <w:sz w:val="28"/>
          <w:szCs w:val="28"/>
        </w:rPr>
        <w:t>ння пільг згідно цього Порядку</w:t>
      </w:r>
      <w:r w:rsidRPr="004757AE">
        <w:rPr>
          <w:rFonts w:ascii="Times New Roman" w:hAnsi="Times New Roman" w:cs="Times New Roman"/>
          <w:sz w:val="28"/>
          <w:szCs w:val="28"/>
        </w:rPr>
        <w:t>, є управління соціального захисту населення міської ради. Пі</w:t>
      </w:r>
      <w:r>
        <w:rPr>
          <w:rFonts w:ascii="Times New Roman" w:hAnsi="Times New Roman" w:cs="Times New Roman"/>
          <w:sz w:val="28"/>
          <w:szCs w:val="28"/>
        </w:rPr>
        <w:t>льги, передбачені цим Порядком</w:t>
      </w:r>
      <w:r w:rsidRPr="004757AE">
        <w:rPr>
          <w:rFonts w:ascii="Times New Roman" w:hAnsi="Times New Roman" w:cs="Times New Roman"/>
          <w:sz w:val="28"/>
          <w:szCs w:val="28"/>
        </w:rPr>
        <w:t>, надаються за наявності та в межах кошторисних призначень.</w:t>
      </w:r>
    </w:p>
    <w:p w:rsidR="00C74026" w:rsidRPr="00B5368D" w:rsidRDefault="00C74026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68D" w:rsidRPr="00B5368D" w:rsidRDefault="00B5368D" w:rsidP="00B5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68D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B5368D">
        <w:rPr>
          <w:rFonts w:ascii="Times New Roman" w:hAnsi="Times New Roman" w:cs="Times New Roman"/>
          <w:sz w:val="28"/>
          <w:szCs w:val="28"/>
        </w:rPr>
        <w:tab/>
      </w:r>
      <w:r w:rsidRPr="00B536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Оксана ГВОЗДЕНКО</w:t>
      </w: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Pr="00C2020D" w:rsidRDefault="00B5368D" w:rsidP="00C2020D">
      <w:pPr>
        <w:pStyle w:val="a3"/>
        <w:rPr>
          <w:szCs w:val="28"/>
        </w:rPr>
      </w:pPr>
    </w:p>
    <w:p w:rsidR="006F7F75" w:rsidRDefault="006F7F75" w:rsidP="00C2020D">
      <w:pPr>
        <w:pStyle w:val="a3"/>
        <w:rPr>
          <w:szCs w:val="28"/>
        </w:rPr>
        <w:sectPr w:rsidR="006F7F75" w:rsidSect="005F231C">
          <w:pgSz w:w="11906" w:h="16838"/>
          <w:pgMar w:top="567" w:right="850" w:bottom="567" w:left="1843" w:header="708" w:footer="708" w:gutter="0"/>
          <w:cols w:space="708"/>
          <w:docGrid w:linePitch="360"/>
        </w:sectPr>
      </w:pPr>
    </w:p>
    <w:p w:rsidR="006F7F75" w:rsidRPr="006F7F75" w:rsidRDefault="00C04486" w:rsidP="006F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12</w:t>
      </w:r>
    </w:p>
    <w:p w:rsidR="006F7F75" w:rsidRPr="006F7F75" w:rsidRDefault="00C04486" w:rsidP="006F7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 xml:space="preserve">(назва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пiдприємства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органiзацiї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постачальникiв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 послуг)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>КОД ЄДРПОУ    _____________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7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F7F75" w:rsidRPr="006F7F75" w:rsidRDefault="006F7F75" w:rsidP="006F7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7F75">
        <w:rPr>
          <w:rFonts w:ascii="Times New Roman" w:hAnsi="Times New Roman" w:cs="Times New Roman"/>
          <w:sz w:val="28"/>
          <w:szCs w:val="28"/>
        </w:rPr>
        <w:t>пiльговикiв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F7F75">
        <w:rPr>
          <w:rFonts w:ascii="Times New Roman" w:hAnsi="Times New Roman" w:cs="Times New Roman"/>
          <w:sz w:val="28"/>
          <w:szCs w:val="28"/>
        </w:rPr>
        <w:t>якихвиникли</w:t>
      </w:r>
      <w:proofErr w:type="spellEnd"/>
      <w:r w:rsidRPr="006F7F75">
        <w:rPr>
          <w:rFonts w:ascii="Times New Roman" w:hAnsi="Times New Roman" w:cs="Times New Roman"/>
          <w:sz w:val="28"/>
          <w:szCs w:val="28"/>
        </w:rPr>
        <w:t xml:space="preserve"> розбіжності в процесі звіряння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524"/>
        <w:gridCol w:w="1232"/>
        <w:gridCol w:w="1349"/>
        <w:gridCol w:w="654"/>
        <w:gridCol w:w="890"/>
        <w:gridCol w:w="1400"/>
        <w:gridCol w:w="1047"/>
        <w:gridCol w:w="686"/>
        <w:gridCol w:w="850"/>
        <w:gridCol w:w="736"/>
        <w:gridCol w:w="1218"/>
        <w:gridCol w:w="989"/>
        <w:gridCol w:w="949"/>
      </w:tblGrid>
      <w:tr w:rsidR="006F7F75" w:rsidRPr="006F7F75" w:rsidTr="00567AB3">
        <w:trPr>
          <w:trHeight w:val="630"/>
        </w:trPr>
        <w:tc>
          <w:tcPr>
            <w:tcW w:w="56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№</w:t>
            </w:r>
          </w:p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701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F7F75"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1276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Іденти</w:t>
            </w:r>
            <w:proofErr w:type="spellEnd"/>
            <w:r w:rsidRPr="006F7F75">
              <w:rPr>
                <w:rFonts w:ascii="Times New Roman" w:hAnsi="Times New Roman" w:cs="Times New Roman"/>
              </w:rPr>
              <w:t>-</w:t>
            </w:r>
            <w:proofErr w:type="spellStart"/>
            <w:r w:rsidRPr="006F7F75">
              <w:rPr>
                <w:rFonts w:ascii="Times New Roman" w:hAnsi="Times New Roman" w:cs="Times New Roman"/>
              </w:rPr>
              <w:t>фікацій</w:t>
            </w:r>
            <w:proofErr w:type="spellEnd"/>
            <w:r w:rsidRPr="006F7F75">
              <w:rPr>
                <w:rFonts w:ascii="Times New Roman" w:hAnsi="Times New Roman" w:cs="Times New Roman"/>
              </w:rPr>
              <w:t>-ний номер</w:t>
            </w:r>
          </w:p>
        </w:tc>
        <w:tc>
          <w:tcPr>
            <w:tcW w:w="1418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6F7F75">
              <w:rPr>
                <w:rFonts w:ascii="Times New Roman" w:hAnsi="Times New Roman" w:cs="Times New Roman"/>
              </w:rPr>
              <w:t>розра-хунко-вого</w:t>
            </w:r>
            <w:proofErr w:type="spellEnd"/>
            <w:r w:rsidRPr="006F7F75">
              <w:rPr>
                <w:rFonts w:ascii="Times New Roman" w:hAnsi="Times New Roman" w:cs="Times New Roman"/>
              </w:rPr>
              <w:t xml:space="preserve"> рахунку</w:t>
            </w:r>
          </w:p>
        </w:tc>
        <w:tc>
          <w:tcPr>
            <w:tcW w:w="68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890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Місяць</w:t>
            </w:r>
          </w:p>
        </w:tc>
        <w:tc>
          <w:tcPr>
            <w:tcW w:w="150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Номер картки</w:t>
            </w:r>
          </w:p>
        </w:tc>
        <w:tc>
          <w:tcPr>
            <w:tcW w:w="1047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Код категорії</w:t>
            </w:r>
          </w:p>
        </w:tc>
        <w:tc>
          <w:tcPr>
            <w:tcW w:w="70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Розмір</w:t>
            </w:r>
          </w:p>
        </w:tc>
        <w:tc>
          <w:tcPr>
            <w:tcW w:w="76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 xml:space="preserve">К-ть </w:t>
            </w:r>
          </w:p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18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Відшкодо</w:t>
            </w:r>
            <w:proofErr w:type="spellEnd"/>
            <w:r w:rsidRPr="006F7F75">
              <w:rPr>
                <w:rFonts w:ascii="Times New Roman" w:hAnsi="Times New Roman" w:cs="Times New Roman"/>
              </w:rPr>
              <w:t>-</w:t>
            </w:r>
          </w:p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вана</w:t>
            </w:r>
            <w:proofErr w:type="spellEnd"/>
            <w:r w:rsidRPr="006F7F75">
              <w:rPr>
                <w:rFonts w:ascii="Times New Roman" w:hAnsi="Times New Roman" w:cs="Times New Roman"/>
              </w:rPr>
              <w:t xml:space="preserve"> сума</w:t>
            </w:r>
          </w:p>
        </w:tc>
        <w:tc>
          <w:tcPr>
            <w:tcW w:w="992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F75">
              <w:rPr>
                <w:rFonts w:ascii="Times New Roman" w:hAnsi="Times New Roman" w:cs="Times New Roman"/>
              </w:rPr>
              <w:t>Нарахо-вана</w:t>
            </w:r>
            <w:proofErr w:type="spellEnd"/>
            <w:r w:rsidRPr="006F7F75">
              <w:rPr>
                <w:rFonts w:ascii="Times New Roman" w:hAnsi="Times New Roman" w:cs="Times New Roman"/>
              </w:rPr>
              <w:t xml:space="preserve"> сума</w:t>
            </w:r>
          </w:p>
        </w:tc>
        <w:tc>
          <w:tcPr>
            <w:tcW w:w="955" w:type="dxa"/>
            <w:vMerge w:val="restart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 xml:space="preserve">Ознака для </w:t>
            </w:r>
            <w:proofErr w:type="spellStart"/>
            <w:r w:rsidRPr="006F7F75">
              <w:rPr>
                <w:rFonts w:ascii="Times New Roman" w:hAnsi="Times New Roman" w:cs="Times New Roman"/>
              </w:rPr>
              <w:t>перера-хунків</w:t>
            </w:r>
            <w:proofErr w:type="spellEnd"/>
          </w:p>
        </w:tc>
      </w:tr>
      <w:tr w:rsidR="006F7F75" w:rsidRPr="006F7F75" w:rsidTr="00567AB3">
        <w:trPr>
          <w:trHeight w:val="630"/>
        </w:trPr>
        <w:tc>
          <w:tcPr>
            <w:tcW w:w="56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нарахування</w:t>
            </w:r>
          </w:p>
        </w:tc>
        <w:tc>
          <w:tcPr>
            <w:tcW w:w="150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F75">
              <w:rPr>
                <w:rFonts w:ascii="Times New Roman" w:hAnsi="Times New Roman" w:cs="Times New Roman"/>
              </w:rPr>
              <w:t>послуги</w:t>
            </w:r>
          </w:p>
        </w:tc>
        <w:tc>
          <w:tcPr>
            <w:tcW w:w="76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F75" w:rsidRPr="006F7F75" w:rsidTr="00567AB3">
        <w:tc>
          <w:tcPr>
            <w:tcW w:w="5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75" w:rsidRPr="006F7F75" w:rsidTr="00567AB3">
        <w:tc>
          <w:tcPr>
            <w:tcW w:w="5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75" w:rsidRPr="006F7F75" w:rsidTr="00567AB3">
        <w:tc>
          <w:tcPr>
            <w:tcW w:w="5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F7F75" w:rsidRPr="006F7F75" w:rsidRDefault="006F7F75" w:rsidP="006F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68D" w:rsidRPr="006F7F75" w:rsidRDefault="00B5368D" w:rsidP="006F7F75">
      <w:pPr>
        <w:pStyle w:val="a3"/>
        <w:rPr>
          <w:szCs w:val="28"/>
        </w:rPr>
      </w:pPr>
    </w:p>
    <w:p w:rsidR="00B5368D" w:rsidRPr="006F7F75" w:rsidRDefault="00B5368D" w:rsidP="006F7F75">
      <w:pPr>
        <w:pStyle w:val="a3"/>
        <w:rPr>
          <w:szCs w:val="28"/>
        </w:rPr>
      </w:pPr>
    </w:p>
    <w:p w:rsidR="00B5368D" w:rsidRPr="006F7F75" w:rsidRDefault="00B5368D" w:rsidP="006F7F75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EC5502" w:rsidRPr="00EC5502" w:rsidRDefault="00C04486" w:rsidP="00EC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13</w:t>
      </w:r>
    </w:p>
    <w:p w:rsidR="00EC5502" w:rsidRPr="00EC5502" w:rsidRDefault="00C04486" w:rsidP="00EC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EC5502" w:rsidRPr="00EC5502" w:rsidRDefault="00EC5502" w:rsidP="00EC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02">
        <w:rPr>
          <w:rFonts w:ascii="Times New Roman" w:hAnsi="Times New Roman" w:cs="Times New Roman"/>
          <w:b/>
          <w:sz w:val="28"/>
          <w:szCs w:val="28"/>
        </w:rPr>
        <w:t>АКТ звіряння</w:t>
      </w:r>
    </w:p>
    <w:p w:rsidR="00EC5502" w:rsidRPr="00EC5502" w:rsidRDefault="00EC5502" w:rsidP="00EC55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>розрахунків за надані населенню послуги, на які нада</w:t>
      </w:r>
      <w:r w:rsidR="00A034FC">
        <w:rPr>
          <w:rFonts w:ascii="Times New Roman" w:hAnsi="Times New Roman" w:cs="Times New Roman"/>
          <w:sz w:val="28"/>
          <w:szCs w:val="28"/>
        </w:rPr>
        <w:t>ються пільги між _____________</w:t>
      </w:r>
      <w:r w:rsidRPr="00EC5502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EC5502" w:rsidRPr="00EC5502" w:rsidRDefault="00EC5502" w:rsidP="00EC55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>станом на ____________ 202__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1631"/>
        <w:gridCol w:w="989"/>
        <w:gridCol w:w="1105"/>
        <w:gridCol w:w="1282"/>
        <w:gridCol w:w="1114"/>
        <w:gridCol w:w="1617"/>
        <w:gridCol w:w="1535"/>
        <w:gridCol w:w="958"/>
        <w:gridCol w:w="933"/>
      </w:tblGrid>
      <w:tr w:rsidR="00EC5502" w:rsidRPr="00EC5502" w:rsidTr="00567AB3">
        <w:tc>
          <w:tcPr>
            <w:tcW w:w="3114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Вид послуги</w:t>
            </w:r>
          </w:p>
        </w:tc>
        <w:tc>
          <w:tcPr>
            <w:tcW w:w="1559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Заборгованість на початок звітного року, станом на 01.01.20  р.</w:t>
            </w:r>
          </w:p>
        </w:tc>
        <w:tc>
          <w:tcPr>
            <w:tcW w:w="2126" w:type="dxa"/>
            <w:gridSpan w:val="2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Фактично спожито в межах норм</w:t>
            </w:r>
          </w:p>
        </w:tc>
        <w:tc>
          <w:tcPr>
            <w:tcW w:w="4068" w:type="dxa"/>
            <w:gridSpan w:val="3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Профінансовано, у т.ч.</w:t>
            </w:r>
          </w:p>
        </w:tc>
        <w:tc>
          <w:tcPr>
            <w:tcW w:w="3693" w:type="dxa"/>
            <w:gridSpan w:val="3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 xml:space="preserve">Заборгованість </w:t>
            </w:r>
          </w:p>
        </w:tc>
      </w:tr>
      <w:tr w:rsidR="00EC5502" w:rsidRPr="00EC5502" w:rsidTr="00567AB3">
        <w:tc>
          <w:tcPr>
            <w:tcW w:w="3114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 початку року</w:t>
            </w:r>
          </w:p>
        </w:tc>
        <w:tc>
          <w:tcPr>
            <w:tcW w:w="1134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за звітний місяць</w:t>
            </w:r>
          </w:p>
        </w:tc>
        <w:tc>
          <w:tcPr>
            <w:tcW w:w="1337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 xml:space="preserve">Станом на 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___ ____ 202_р.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у тому числі:</w:t>
            </w:r>
          </w:p>
        </w:tc>
        <w:tc>
          <w:tcPr>
            <w:tcW w:w="1629" w:type="dxa"/>
            <w:vMerge w:val="restart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 xml:space="preserve">Станом на 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___ ____ 202_р.</w:t>
            </w:r>
          </w:p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у тому числі:</w:t>
            </w:r>
          </w:p>
        </w:tc>
      </w:tr>
      <w:tr w:rsidR="00EC5502" w:rsidRPr="00EC5502" w:rsidTr="00567AB3">
        <w:tc>
          <w:tcPr>
            <w:tcW w:w="3114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за поточний рік</w:t>
            </w: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502">
              <w:rPr>
                <w:rFonts w:ascii="Times New Roman" w:hAnsi="Times New Roman" w:cs="Times New Roman"/>
              </w:rPr>
              <w:t>погашення заборгованості минулих років</w:t>
            </w:r>
          </w:p>
        </w:tc>
        <w:tc>
          <w:tcPr>
            <w:tcW w:w="1629" w:type="dxa"/>
            <w:vMerge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5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5502">
              <w:rPr>
                <w:rFonts w:ascii="Times New Roman" w:hAnsi="Times New Roman" w:cs="Times New Roman"/>
                <w:b/>
              </w:rPr>
              <w:t>Послуги з</w:t>
            </w:r>
            <w:r w:rsidR="00A034FC">
              <w:rPr>
                <w:rFonts w:ascii="Times New Roman" w:hAnsi="Times New Roman" w:cs="Times New Roman"/>
                <w:b/>
              </w:rPr>
              <w:t>в’язку за даними надавача послуг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5502">
              <w:rPr>
                <w:rFonts w:ascii="Times New Roman" w:hAnsi="Times New Roman" w:cs="Times New Roman"/>
                <w:b/>
              </w:rPr>
              <w:t>Послуги зв’язку за даними розпорядника бюджетних коштів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502" w:rsidRPr="00EC5502" w:rsidTr="00567AB3">
        <w:tc>
          <w:tcPr>
            <w:tcW w:w="3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5502">
              <w:rPr>
                <w:rFonts w:ascii="Times New Roman" w:hAnsi="Times New Roman" w:cs="Times New Roman"/>
                <w:b/>
              </w:rPr>
              <w:t>Послуги зв’язку, які знаходяться на стадії узгодження</w:t>
            </w:r>
          </w:p>
        </w:tc>
        <w:tc>
          <w:tcPr>
            <w:tcW w:w="155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EC5502" w:rsidRPr="00EC5502" w:rsidRDefault="00EC5502" w:rsidP="00EC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502" w:rsidRPr="00EC5502" w:rsidRDefault="00EC5502" w:rsidP="00EC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>Розпорядник                                                                                                                 Надавач послуг</w:t>
      </w: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 xml:space="preserve">Керівник                                                                                                                        </w:t>
      </w:r>
      <w:proofErr w:type="spellStart"/>
      <w:r w:rsidRPr="00EC550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02" w:rsidRPr="00EC5502" w:rsidRDefault="00EC5502" w:rsidP="00EC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02">
        <w:rPr>
          <w:rFonts w:ascii="Times New Roman" w:hAnsi="Times New Roman" w:cs="Times New Roman"/>
          <w:sz w:val="28"/>
          <w:szCs w:val="28"/>
        </w:rPr>
        <w:t xml:space="preserve">Бухгалтер                                                                                                                       </w:t>
      </w:r>
      <w:proofErr w:type="spellStart"/>
      <w:r w:rsidRPr="00EC5502">
        <w:rPr>
          <w:rFonts w:ascii="Times New Roman" w:hAnsi="Times New Roman" w:cs="Times New Roman"/>
          <w:sz w:val="28"/>
          <w:szCs w:val="28"/>
        </w:rPr>
        <w:t>Бухгалтер</w:t>
      </w:r>
      <w:proofErr w:type="spellEnd"/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  <w:r w:rsidR="00C04486">
        <w:rPr>
          <w:rFonts w:ascii="Times New Roman" w:hAnsi="Times New Roman" w:cs="Times New Roman"/>
          <w:sz w:val="28"/>
          <w:szCs w:val="28"/>
        </w:rPr>
        <w:t>4</w:t>
      </w:r>
    </w:p>
    <w:p w:rsidR="00123B48" w:rsidRPr="00123B48" w:rsidRDefault="00C04486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(підприємство, що надає послуги)</w:t>
      </w:r>
    </w:p>
    <w:p w:rsidR="00123B48" w:rsidRPr="00123B48" w:rsidRDefault="00123B48" w:rsidP="0012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код ЄДРПОУ ________________</w:t>
      </w:r>
    </w:p>
    <w:p w:rsidR="00123B48" w:rsidRPr="00123B48" w:rsidRDefault="00123B48" w:rsidP="0012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РОЗРАХУНОК</w:t>
      </w:r>
    </w:p>
    <w:p w:rsidR="00123B48" w:rsidRPr="00123B48" w:rsidRDefault="00123B48" w:rsidP="0012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видатків на відшкодування витрат, пов’язаних з наданням пільг,</w:t>
      </w:r>
    </w:p>
    <w:p w:rsidR="00123B48" w:rsidRPr="00123B48" w:rsidRDefault="00123B48" w:rsidP="0012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у _____________ 20____р.</w:t>
      </w: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</w:rPr>
      </w:pPr>
      <w:r w:rsidRPr="00123B48">
        <w:rPr>
          <w:rFonts w:ascii="Times New Roman" w:hAnsi="Times New Roman" w:cs="Times New Roman"/>
        </w:rPr>
        <w:t>(місяць)</w:t>
      </w: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177"/>
        <w:gridCol w:w="890"/>
        <w:gridCol w:w="995"/>
        <w:gridCol w:w="1047"/>
        <w:gridCol w:w="979"/>
        <w:gridCol w:w="1377"/>
        <w:gridCol w:w="1377"/>
        <w:gridCol w:w="1503"/>
        <w:gridCol w:w="1488"/>
        <w:gridCol w:w="1488"/>
        <w:gridCol w:w="1488"/>
        <w:gridCol w:w="866"/>
      </w:tblGrid>
      <w:tr w:rsidR="00123B48" w:rsidRPr="00123B48" w:rsidTr="00567AB3">
        <w:tc>
          <w:tcPr>
            <w:tcW w:w="701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553" w:type="dxa"/>
            <w:gridSpan w:val="5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Дані про пільговика</w:t>
            </w:r>
          </w:p>
        </w:tc>
        <w:tc>
          <w:tcPr>
            <w:tcW w:w="97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 xml:space="preserve">Рік, за який </w:t>
            </w:r>
            <w:proofErr w:type="spellStart"/>
            <w:r w:rsidRPr="00123B48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денообраху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вання</w:t>
            </w:r>
            <w:proofErr w:type="spellEnd"/>
          </w:p>
        </w:tc>
        <w:tc>
          <w:tcPr>
            <w:tcW w:w="95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 xml:space="preserve">Місяць, за який </w:t>
            </w:r>
            <w:proofErr w:type="spellStart"/>
            <w:r w:rsidRPr="00123B48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денообраху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</w:p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вання</w:t>
            </w:r>
            <w:proofErr w:type="spellEnd"/>
          </w:p>
        </w:tc>
        <w:tc>
          <w:tcPr>
            <w:tcW w:w="5967" w:type="dxa"/>
            <w:gridSpan w:val="4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Види послуг (* обсяг в секундах; нарахована сума, грн)</w:t>
            </w:r>
          </w:p>
        </w:tc>
        <w:tc>
          <w:tcPr>
            <w:tcW w:w="866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Разом нара-ховано (грн)</w:t>
            </w:r>
          </w:p>
        </w:tc>
      </w:tr>
      <w:tr w:rsidR="00123B48" w:rsidRPr="00123B48" w:rsidTr="00567AB3">
        <w:tc>
          <w:tcPr>
            <w:tcW w:w="701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Прізвище, ім’я, по батькові</w:t>
            </w:r>
          </w:p>
        </w:tc>
        <w:tc>
          <w:tcPr>
            <w:tcW w:w="890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995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3B48">
              <w:rPr>
                <w:rFonts w:ascii="Times New Roman" w:hAnsi="Times New Roman" w:cs="Times New Roman"/>
              </w:rPr>
              <w:t>Іденти</w:t>
            </w:r>
            <w:proofErr w:type="spellEnd"/>
            <w:r w:rsidRPr="00123B48">
              <w:rPr>
                <w:rFonts w:ascii="Times New Roman" w:hAnsi="Times New Roman" w:cs="Times New Roman"/>
              </w:rPr>
              <w:t>-</w:t>
            </w:r>
            <w:proofErr w:type="spellStart"/>
            <w:r w:rsidRPr="00123B48">
              <w:rPr>
                <w:rFonts w:ascii="Times New Roman" w:hAnsi="Times New Roman" w:cs="Times New Roman"/>
              </w:rPr>
              <w:t>фікацій</w:t>
            </w:r>
            <w:proofErr w:type="spellEnd"/>
            <w:r w:rsidRPr="00123B48">
              <w:rPr>
                <w:rFonts w:ascii="Times New Roman" w:hAnsi="Times New Roman" w:cs="Times New Roman"/>
              </w:rPr>
              <w:t>-ний номер</w:t>
            </w: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Код категорії пільго-вика/ розмір пільги (50, 75, 100%)</w:t>
            </w:r>
          </w:p>
        </w:tc>
        <w:tc>
          <w:tcPr>
            <w:tcW w:w="979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Номер особо-</w:t>
            </w:r>
            <w:proofErr w:type="spellStart"/>
            <w:r w:rsidRPr="00123B48">
              <w:rPr>
                <w:rFonts w:ascii="Times New Roman" w:hAnsi="Times New Roman" w:cs="Times New Roman"/>
              </w:rPr>
              <w:t>вого</w:t>
            </w:r>
            <w:proofErr w:type="spellEnd"/>
            <w:r w:rsidRPr="00123B48">
              <w:rPr>
                <w:rFonts w:ascii="Times New Roman" w:hAnsi="Times New Roman" w:cs="Times New Roman"/>
              </w:rPr>
              <w:t xml:space="preserve"> рахунку</w:t>
            </w:r>
          </w:p>
        </w:tc>
        <w:tc>
          <w:tcPr>
            <w:tcW w:w="97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Абонентна плата за користування телефоном та погодинна оплата місцевих розмов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Основні роботи зі встановлення квартирних телефонів (грн)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Додаткові роботи зі встановлення квартирних телефонів (грн)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Позачергове та безоплатне встановлення квартирних телефонів (грн)</w:t>
            </w:r>
          </w:p>
        </w:tc>
        <w:tc>
          <w:tcPr>
            <w:tcW w:w="866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B48" w:rsidRPr="00123B48" w:rsidTr="00567AB3">
        <w:tc>
          <w:tcPr>
            <w:tcW w:w="701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866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B48" w:rsidRPr="00123B48" w:rsidTr="00567AB3">
        <w:tc>
          <w:tcPr>
            <w:tcW w:w="701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B48" w:rsidRPr="00123B48" w:rsidTr="00567AB3">
        <w:tc>
          <w:tcPr>
            <w:tcW w:w="701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48" w:rsidRPr="00123B48" w:rsidTr="00567AB3">
        <w:tc>
          <w:tcPr>
            <w:tcW w:w="701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48" w:rsidRPr="00123B48" w:rsidTr="00567AB3">
        <w:tc>
          <w:tcPr>
            <w:tcW w:w="701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48" w:rsidRPr="00123B48" w:rsidTr="00567AB3">
        <w:tc>
          <w:tcPr>
            <w:tcW w:w="8188" w:type="dxa"/>
            <w:gridSpan w:val="8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B4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503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23B48" w:rsidRPr="00123B48" w:rsidRDefault="00123B48" w:rsidP="00123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48" w:rsidRPr="00123B48" w:rsidRDefault="00123B48" w:rsidP="0012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48">
        <w:rPr>
          <w:rFonts w:ascii="Times New Roman" w:hAnsi="Times New Roman" w:cs="Times New Roman"/>
          <w:sz w:val="28"/>
          <w:szCs w:val="28"/>
        </w:rPr>
        <w:t>Керівник                                                   ____________ ПІБ</w:t>
      </w:r>
    </w:p>
    <w:p w:rsidR="00B5368D" w:rsidRDefault="00B5368D" w:rsidP="00C2020D">
      <w:pPr>
        <w:pStyle w:val="a3"/>
        <w:rPr>
          <w:szCs w:val="28"/>
        </w:rPr>
      </w:pPr>
    </w:p>
    <w:p w:rsidR="00B5368D" w:rsidRDefault="00B5368D" w:rsidP="00C2020D">
      <w:pPr>
        <w:pStyle w:val="a3"/>
        <w:rPr>
          <w:szCs w:val="28"/>
        </w:rPr>
      </w:pPr>
    </w:p>
    <w:sectPr w:rsidR="00B5368D" w:rsidSect="00F15170">
      <w:pgSz w:w="16838" w:h="11906" w:orient="landscape"/>
      <w:pgMar w:top="851" w:right="1985" w:bottom="184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5454D"/>
    <w:rsid w:val="0006527C"/>
    <w:rsid w:val="000B4E61"/>
    <w:rsid w:val="000D1C80"/>
    <w:rsid w:val="00123B48"/>
    <w:rsid w:val="00137511"/>
    <w:rsid w:val="00212F56"/>
    <w:rsid w:val="00236448"/>
    <w:rsid w:val="00241C5B"/>
    <w:rsid w:val="002A2EF1"/>
    <w:rsid w:val="00340EFF"/>
    <w:rsid w:val="003F344C"/>
    <w:rsid w:val="00404A4B"/>
    <w:rsid w:val="0043216A"/>
    <w:rsid w:val="00436AAA"/>
    <w:rsid w:val="00472334"/>
    <w:rsid w:val="00481775"/>
    <w:rsid w:val="00506DDD"/>
    <w:rsid w:val="00574096"/>
    <w:rsid w:val="005847AB"/>
    <w:rsid w:val="005C60E7"/>
    <w:rsid w:val="005D5882"/>
    <w:rsid w:val="005D7EFB"/>
    <w:rsid w:val="005F231C"/>
    <w:rsid w:val="0061555A"/>
    <w:rsid w:val="006552F7"/>
    <w:rsid w:val="00667E16"/>
    <w:rsid w:val="006B4880"/>
    <w:rsid w:val="006F7F75"/>
    <w:rsid w:val="00731960"/>
    <w:rsid w:val="00751F50"/>
    <w:rsid w:val="00795F7B"/>
    <w:rsid w:val="007D527D"/>
    <w:rsid w:val="00807E5C"/>
    <w:rsid w:val="00824777"/>
    <w:rsid w:val="00906244"/>
    <w:rsid w:val="00940FF8"/>
    <w:rsid w:val="009B5F4F"/>
    <w:rsid w:val="009D2D8C"/>
    <w:rsid w:val="00A034FC"/>
    <w:rsid w:val="00A205F3"/>
    <w:rsid w:val="00A976E8"/>
    <w:rsid w:val="00AE06D2"/>
    <w:rsid w:val="00AF3F11"/>
    <w:rsid w:val="00B25DEF"/>
    <w:rsid w:val="00B5368D"/>
    <w:rsid w:val="00BE03B7"/>
    <w:rsid w:val="00C04486"/>
    <w:rsid w:val="00C1098A"/>
    <w:rsid w:val="00C2020D"/>
    <w:rsid w:val="00C74026"/>
    <w:rsid w:val="00C87624"/>
    <w:rsid w:val="00C9556C"/>
    <w:rsid w:val="00CA441A"/>
    <w:rsid w:val="00CB5748"/>
    <w:rsid w:val="00CF242E"/>
    <w:rsid w:val="00D52739"/>
    <w:rsid w:val="00DD487F"/>
    <w:rsid w:val="00E91F9C"/>
    <w:rsid w:val="00EC5502"/>
    <w:rsid w:val="00ED3D6D"/>
    <w:rsid w:val="00F15170"/>
    <w:rsid w:val="00F229CD"/>
    <w:rsid w:val="00F94168"/>
    <w:rsid w:val="00FC74C6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504D"/>
  <w15:docId w15:val="{417D62FB-CFAC-44BA-A5D8-7852A506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04A4B"/>
    <w:pPr>
      <w:ind w:left="720"/>
      <w:contextualSpacing/>
    </w:pPr>
  </w:style>
  <w:style w:type="character" w:customStyle="1" w:styleId="rvts7">
    <w:name w:val="rvts7"/>
    <w:basedOn w:val="a0"/>
    <w:rsid w:val="00137511"/>
  </w:style>
  <w:style w:type="character" w:customStyle="1" w:styleId="apple-converted-space">
    <w:name w:val="apple-converted-space"/>
    <w:basedOn w:val="a0"/>
    <w:rsid w:val="00B5368D"/>
  </w:style>
  <w:style w:type="paragraph" w:customStyle="1" w:styleId="rvps76">
    <w:name w:val="rvps76"/>
    <w:basedOn w:val="a"/>
    <w:rsid w:val="00B5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5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C5FA-3A1C-4924-97CE-E8FA27B7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8314</Words>
  <Characters>4739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58</cp:revision>
  <dcterms:created xsi:type="dcterms:W3CDTF">2022-12-26T06:22:00Z</dcterms:created>
  <dcterms:modified xsi:type="dcterms:W3CDTF">2023-04-14T08:43:00Z</dcterms:modified>
</cp:coreProperties>
</file>