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DB" w:rsidRPr="001953B2" w:rsidRDefault="00011003" w:rsidP="000127DB">
      <w:pPr>
        <w:tabs>
          <w:tab w:val="left" w:pos="1843"/>
        </w:tabs>
        <w:jc w:val="center"/>
        <w:rPr>
          <w:sz w:val="18"/>
          <w:szCs w:val="18"/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="000127DB">
        <w:rPr>
          <w:noProof/>
          <w:sz w:val="18"/>
          <w:szCs w:val="18"/>
          <w:lang w:val="en-US" w:eastAsia="en-US"/>
        </w:rPr>
        <w:drawing>
          <wp:inline distT="0" distB="0" distL="0" distR="0" wp14:anchorId="01BF009E" wp14:editId="17876778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7DB" w:rsidRDefault="000127DB" w:rsidP="000127DB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ЗВЯГЕЛЬСЬКА МІСЬКА РАДА </w:t>
      </w:r>
    </w:p>
    <w:p w:rsidR="000127DB" w:rsidRDefault="000127DB" w:rsidP="000127DB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B12FD9" w:rsidRDefault="00B12FD9" w:rsidP="000127DB">
      <w:pPr>
        <w:widowControl w:val="0"/>
        <w:autoSpaceDE w:val="0"/>
        <w:autoSpaceDN w:val="0"/>
        <w:adjustRightInd w:val="0"/>
        <w:ind w:right="-164"/>
        <w:jc w:val="center"/>
        <w:rPr>
          <w:b/>
          <w:sz w:val="28"/>
          <w:szCs w:val="28"/>
          <w:lang w:val="uk-UA"/>
        </w:rPr>
      </w:pPr>
    </w:p>
    <w:p w:rsidR="00B12FD9" w:rsidRPr="008A5A6F" w:rsidRDefault="00925D95" w:rsidP="008A5A6F">
      <w:pPr>
        <w:pStyle w:val="af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сорок</w:t>
      </w:r>
      <w:r w:rsidR="003E17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5006">
        <w:rPr>
          <w:rFonts w:ascii="Times New Roman" w:hAnsi="Times New Roman"/>
          <w:sz w:val="28"/>
          <w:szCs w:val="28"/>
          <w:lang w:val="uk-UA"/>
        </w:rPr>
        <w:t>шоста</w:t>
      </w:r>
      <w:r w:rsidR="00B12FD9" w:rsidRPr="008A5A6F">
        <w:rPr>
          <w:rFonts w:ascii="Times New Roman" w:hAnsi="Times New Roman"/>
          <w:sz w:val="28"/>
          <w:szCs w:val="28"/>
          <w:lang w:val="uk-UA"/>
        </w:rPr>
        <w:t xml:space="preserve"> сесія  </w:t>
      </w:r>
      <w:r w:rsidR="00B12FD9" w:rsidRPr="008A5A6F">
        <w:rPr>
          <w:rFonts w:ascii="Times New Roman" w:hAnsi="Times New Roman"/>
          <w:sz w:val="28"/>
          <w:szCs w:val="28"/>
          <w:lang w:val="uk-UA"/>
        </w:rPr>
        <w:tab/>
      </w:r>
      <w:r w:rsidR="00B12FD9" w:rsidRPr="008A5A6F">
        <w:rPr>
          <w:rFonts w:ascii="Times New Roman" w:hAnsi="Times New Roman"/>
          <w:sz w:val="28"/>
          <w:szCs w:val="28"/>
          <w:lang w:val="uk-UA"/>
        </w:rPr>
        <w:tab/>
      </w:r>
      <w:r w:rsidR="00B12FD9" w:rsidRPr="008A5A6F">
        <w:rPr>
          <w:rFonts w:ascii="Times New Roman" w:hAnsi="Times New Roman"/>
          <w:sz w:val="28"/>
          <w:szCs w:val="28"/>
          <w:lang w:val="uk-UA"/>
        </w:rPr>
        <w:tab/>
      </w:r>
      <w:r w:rsidR="00B12FD9" w:rsidRPr="008A5A6F">
        <w:rPr>
          <w:rFonts w:ascii="Times New Roman" w:hAnsi="Times New Roman"/>
          <w:sz w:val="28"/>
          <w:szCs w:val="28"/>
          <w:lang w:val="uk-UA"/>
        </w:rPr>
        <w:tab/>
      </w:r>
      <w:r w:rsidR="005572CC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2950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72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27DB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572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FD9" w:rsidRPr="008A5A6F">
        <w:rPr>
          <w:rFonts w:ascii="Times New Roman" w:hAnsi="Times New Roman"/>
          <w:sz w:val="28"/>
          <w:szCs w:val="28"/>
          <w:lang w:val="uk-UA"/>
        </w:rPr>
        <w:t xml:space="preserve"> восьмого  скликання</w:t>
      </w:r>
    </w:p>
    <w:p w:rsidR="00B12FD9" w:rsidRPr="008A5A6F" w:rsidRDefault="00B12FD9" w:rsidP="008A5A6F">
      <w:pPr>
        <w:pStyle w:val="af0"/>
        <w:rPr>
          <w:rFonts w:ascii="Times New Roman" w:hAnsi="Times New Roman"/>
          <w:sz w:val="28"/>
          <w:szCs w:val="28"/>
          <w:lang w:val="uk-UA"/>
        </w:rPr>
      </w:pPr>
    </w:p>
    <w:p w:rsidR="00B12FD9" w:rsidRPr="008A5A6F" w:rsidRDefault="00295006" w:rsidP="008A5A6F">
      <w:pPr>
        <w:pStyle w:val="af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</w:t>
      </w:r>
      <w:r w:rsidR="00B12FD9" w:rsidRPr="008A5A6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0127DB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D258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FD9" w:rsidRPr="008A5A6F">
        <w:rPr>
          <w:rFonts w:ascii="Times New Roman" w:hAnsi="Times New Roman"/>
          <w:sz w:val="28"/>
          <w:szCs w:val="28"/>
          <w:lang w:val="uk-UA"/>
        </w:rPr>
        <w:t>№</w:t>
      </w:r>
      <w:r w:rsidR="000127DB">
        <w:rPr>
          <w:rFonts w:ascii="Times New Roman" w:hAnsi="Times New Roman"/>
          <w:sz w:val="28"/>
          <w:szCs w:val="28"/>
          <w:lang w:val="uk-UA"/>
        </w:rPr>
        <w:t>_________</w:t>
      </w:r>
    </w:p>
    <w:p w:rsidR="005A18B8" w:rsidRDefault="005A18B8" w:rsidP="005A18B8">
      <w:pPr>
        <w:ind w:right="3288"/>
        <w:jc w:val="both"/>
        <w:rPr>
          <w:sz w:val="28"/>
          <w:szCs w:val="28"/>
          <w:lang w:val="uk-UA"/>
        </w:rPr>
      </w:pPr>
    </w:p>
    <w:p w:rsidR="0076785F" w:rsidRPr="0076785F" w:rsidRDefault="0076785F" w:rsidP="00321926">
      <w:pPr>
        <w:ind w:right="4394"/>
        <w:jc w:val="both"/>
        <w:rPr>
          <w:sz w:val="28"/>
          <w:szCs w:val="28"/>
          <w:lang w:val="uk-UA"/>
        </w:rPr>
      </w:pPr>
      <w:r w:rsidRPr="0076785F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 </w:t>
      </w:r>
      <w:r w:rsidR="00321926">
        <w:rPr>
          <w:sz w:val="28"/>
          <w:szCs w:val="28"/>
          <w:lang w:val="uk-UA"/>
        </w:rPr>
        <w:t xml:space="preserve">внесення змін до рішення міської ради </w:t>
      </w:r>
      <w:r w:rsidR="00321926" w:rsidRPr="00321926">
        <w:rPr>
          <w:sz w:val="28"/>
          <w:szCs w:val="28"/>
          <w:lang w:val="uk-UA"/>
        </w:rPr>
        <w:t>від 24.02.2022 №477</w:t>
      </w:r>
      <w:r w:rsidR="00321926">
        <w:rPr>
          <w:sz w:val="28"/>
          <w:szCs w:val="28"/>
          <w:lang w:val="uk-UA"/>
        </w:rPr>
        <w:t xml:space="preserve"> </w:t>
      </w:r>
      <w:r w:rsidR="00321926" w:rsidRPr="00321926">
        <w:rPr>
          <w:sz w:val="28"/>
          <w:szCs w:val="28"/>
          <w:lang w:val="uk-UA"/>
        </w:rPr>
        <w:t>„</w:t>
      </w:r>
      <w:r w:rsidR="00321926">
        <w:rPr>
          <w:sz w:val="28"/>
          <w:szCs w:val="28"/>
          <w:lang w:val="uk-UA"/>
        </w:rPr>
        <w:t xml:space="preserve">Про </w:t>
      </w:r>
      <w:r w:rsidRPr="0076785F">
        <w:rPr>
          <w:sz w:val="28"/>
          <w:szCs w:val="28"/>
          <w:lang w:val="uk-UA"/>
        </w:rPr>
        <w:t xml:space="preserve">розроблення </w:t>
      </w:r>
      <w:r w:rsidR="00321926">
        <w:rPr>
          <w:sz w:val="28"/>
          <w:szCs w:val="28"/>
          <w:lang w:val="uk-UA"/>
        </w:rPr>
        <w:t xml:space="preserve">        </w:t>
      </w:r>
      <w:r w:rsidRPr="0076785F">
        <w:rPr>
          <w:sz w:val="28"/>
          <w:szCs w:val="28"/>
          <w:lang w:val="uk-UA"/>
        </w:rPr>
        <w:t xml:space="preserve">Комплексного </w:t>
      </w:r>
      <w:r w:rsidR="00321926">
        <w:rPr>
          <w:sz w:val="28"/>
          <w:szCs w:val="28"/>
          <w:lang w:val="uk-UA"/>
        </w:rPr>
        <w:t xml:space="preserve">        </w:t>
      </w:r>
      <w:r w:rsidR="00ED3F8C">
        <w:rPr>
          <w:sz w:val="28"/>
          <w:szCs w:val="28"/>
          <w:lang w:val="uk-UA"/>
        </w:rPr>
        <w:t>п</w:t>
      </w:r>
      <w:r w:rsidRPr="0076785F">
        <w:rPr>
          <w:sz w:val="28"/>
          <w:szCs w:val="28"/>
          <w:lang w:val="uk-UA"/>
        </w:rPr>
        <w:t>лану</w:t>
      </w:r>
    </w:p>
    <w:p w:rsidR="0076785F" w:rsidRPr="0076785F" w:rsidRDefault="0076785F" w:rsidP="0076785F">
      <w:pPr>
        <w:ind w:right="4394"/>
        <w:jc w:val="both"/>
        <w:rPr>
          <w:sz w:val="28"/>
          <w:szCs w:val="28"/>
          <w:lang w:val="uk-UA"/>
        </w:rPr>
      </w:pPr>
      <w:r w:rsidRPr="0076785F">
        <w:rPr>
          <w:sz w:val="28"/>
          <w:szCs w:val="28"/>
          <w:lang w:val="uk-UA"/>
        </w:rPr>
        <w:t xml:space="preserve">просторового розвитку території </w:t>
      </w:r>
      <w:r w:rsidR="00295006">
        <w:rPr>
          <w:sz w:val="28"/>
          <w:szCs w:val="28"/>
          <w:lang w:val="uk-UA"/>
        </w:rPr>
        <w:t>Звягельської</w:t>
      </w:r>
      <w:r w:rsidRPr="0076785F">
        <w:rPr>
          <w:sz w:val="28"/>
          <w:szCs w:val="28"/>
          <w:lang w:val="uk-UA"/>
        </w:rPr>
        <w:t xml:space="preserve"> міської територіальної громади</w:t>
      </w:r>
      <w:r w:rsidR="00321926" w:rsidRPr="00321926">
        <w:rPr>
          <w:sz w:val="28"/>
          <w:szCs w:val="28"/>
          <w:lang w:val="uk-UA"/>
        </w:rPr>
        <w:t>“</w:t>
      </w:r>
    </w:p>
    <w:p w:rsidR="00664EB6" w:rsidRPr="005A18B8" w:rsidRDefault="00664EB6" w:rsidP="00664EB6">
      <w:pPr>
        <w:ind w:right="3288"/>
        <w:jc w:val="both"/>
        <w:rPr>
          <w:sz w:val="28"/>
          <w:szCs w:val="28"/>
          <w:lang w:val="uk-UA"/>
        </w:rPr>
      </w:pPr>
    </w:p>
    <w:p w:rsidR="00864E49" w:rsidRDefault="0076785F" w:rsidP="00C14E76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 w:rsidRPr="0076785F">
        <w:rPr>
          <w:rFonts w:eastAsia="SimSun"/>
          <w:sz w:val="28"/>
          <w:szCs w:val="28"/>
          <w:lang w:val="uk-UA" w:eastAsia="zh-CN"/>
        </w:rPr>
        <w:t xml:space="preserve">    Керуючись статтею 25, пунктом 42 частини першої статті 26 Закону України „Про місцеве самоврядування в Україні“, </w:t>
      </w:r>
      <w:r w:rsidR="002C1262">
        <w:rPr>
          <w:rFonts w:eastAsia="SimSun"/>
          <w:sz w:val="28"/>
          <w:szCs w:val="28"/>
          <w:lang w:val="uk-UA" w:eastAsia="zh-CN"/>
        </w:rPr>
        <w:t xml:space="preserve">враховуючи </w:t>
      </w:r>
      <w:r w:rsidR="00C45F03" w:rsidRPr="00AC7145">
        <w:rPr>
          <w:rFonts w:eastAsia="SimSun"/>
          <w:sz w:val="28"/>
          <w:szCs w:val="28"/>
          <w:lang w:val="uk-UA" w:eastAsia="zh-CN"/>
        </w:rPr>
        <w:t>пропозиції</w:t>
      </w:r>
      <w:r w:rsidR="00A82950" w:rsidRPr="00AC7145">
        <w:rPr>
          <w:rFonts w:eastAsia="SimSun"/>
          <w:sz w:val="28"/>
          <w:szCs w:val="28"/>
          <w:lang w:val="uk-UA" w:eastAsia="zh-CN"/>
        </w:rPr>
        <w:t xml:space="preserve"> постійної комісії міської ради з питань містобудування, архітектури та земельних відносин</w:t>
      </w:r>
      <w:r w:rsidR="008E0D4B" w:rsidRPr="00AC7145">
        <w:rPr>
          <w:rFonts w:eastAsia="SimSun"/>
          <w:sz w:val="28"/>
          <w:szCs w:val="28"/>
          <w:lang w:val="uk-UA" w:eastAsia="zh-CN"/>
        </w:rPr>
        <w:t xml:space="preserve">, </w:t>
      </w:r>
      <w:r w:rsidRPr="00AC7145">
        <w:rPr>
          <w:rFonts w:eastAsia="SimSun"/>
          <w:sz w:val="28"/>
          <w:szCs w:val="28"/>
          <w:lang w:val="uk-UA" w:eastAsia="zh-CN"/>
        </w:rPr>
        <w:t>міська рада</w:t>
      </w:r>
    </w:p>
    <w:p w:rsidR="00804AF9" w:rsidRPr="00C14E76" w:rsidRDefault="00804AF9" w:rsidP="00C14E76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</w:p>
    <w:p w:rsidR="00C14E76" w:rsidRPr="00C14E76" w:rsidRDefault="00C14E76" w:rsidP="00C14E76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 w:rsidRPr="00C14E76">
        <w:rPr>
          <w:rFonts w:eastAsia="SimSun"/>
          <w:sz w:val="28"/>
          <w:szCs w:val="28"/>
          <w:lang w:val="uk-UA" w:eastAsia="zh-CN"/>
        </w:rPr>
        <w:t>ВИРІШИЛА :</w:t>
      </w:r>
    </w:p>
    <w:p w:rsidR="00883DC3" w:rsidRDefault="008E0D4B" w:rsidP="00883DC3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    </w:t>
      </w:r>
      <w:r w:rsidRPr="008E0D4B">
        <w:rPr>
          <w:rFonts w:eastAsia="SimSun"/>
          <w:sz w:val="28"/>
          <w:szCs w:val="28"/>
          <w:lang w:val="uk-UA" w:eastAsia="zh-CN"/>
        </w:rPr>
        <w:t xml:space="preserve">1. </w:t>
      </w:r>
      <w:r w:rsidR="00883DC3">
        <w:rPr>
          <w:rFonts w:eastAsia="SimSun"/>
          <w:sz w:val="28"/>
          <w:szCs w:val="28"/>
          <w:lang w:val="uk-UA" w:eastAsia="zh-CN"/>
        </w:rPr>
        <w:t xml:space="preserve">Внести зміни до рішення міської ради від 24.02.2022 №477 </w:t>
      </w:r>
      <w:r w:rsidR="00883DC3" w:rsidRPr="00883DC3">
        <w:rPr>
          <w:rFonts w:eastAsia="SimSun"/>
          <w:sz w:val="28"/>
          <w:szCs w:val="28"/>
          <w:lang w:val="uk-UA" w:eastAsia="zh-CN"/>
        </w:rPr>
        <w:t>„Про розроблення Комплексного плану</w:t>
      </w:r>
      <w:r w:rsidR="00883DC3">
        <w:rPr>
          <w:rFonts w:eastAsia="SimSun"/>
          <w:sz w:val="28"/>
          <w:szCs w:val="28"/>
          <w:lang w:val="uk-UA" w:eastAsia="zh-CN"/>
        </w:rPr>
        <w:t xml:space="preserve"> </w:t>
      </w:r>
      <w:r w:rsidR="00883DC3" w:rsidRPr="00883DC3">
        <w:rPr>
          <w:rFonts w:eastAsia="SimSun"/>
          <w:sz w:val="28"/>
          <w:szCs w:val="28"/>
          <w:lang w:val="uk-UA" w:eastAsia="zh-CN"/>
        </w:rPr>
        <w:t xml:space="preserve">просторового розвитку території </w:t>
      </w:r>
      <w:r w:rsidR="00295006">
        <w:rPr>
          <w:rFonts w:eastAsia="SimSun"/>
          <w:sz w:val="28"/>
          <w:szCs w:val="28"/>
          <w:lang w:val="uk-UA" w:eastAsia="zh-CN"/>
        </w:rPr>
        <w:t xml:space="preserve">Звягельської </w:t>
      </w:r>
      <w:r w:rsidR="00883DC3" w:rsidRPr="00883DC3">
        <w:rPr>
          <w:rFonts w:eastAsia="SimSun"/>
          <w:sz w:val="28"/>
          <w:szCs w:val="28"/>
          <w:lang w:val="uk-UA" w:eastAsia="zh-CN"/>
        </w:rPr>
        <w:t>міської територіальної громади“</w:t>
      </w:r>
      <w:r w:rsidR="00883DC3">
        <w:rPr>
          <w:rFonts w:eastAsia="SimSun"/>
          <w:sz w:val="28"/>
          <w:szCs w:val="28"/>
          <w:lang w:val="uk-UA" w:eastAsia="zh-CN"/>
        </w:rPr>
        <w:t xml:space="preserve"> </w:t>
      </w:r>
      <w:r w:rsidR="00AC7145">
        <w:rPr>
          <w:rFonts w:eastAsia="SimSun"/>
          <w:sz w:val="28"/>
          <w:szCs w:val="28"/>
          <w:lang w:val="uk-UA" w:eastAsia="zh-CN"/>
        </w:rPr>
        <w:t>з наступними</w:t>
      </w:r>
      <w:r w:rsidR="00AF3AA0">
        <w:rPr>
          <w:rFonts w:eastAsia="SimSun"/>
          <w:sz w:val="28"/>
          <w:szCs w:val="28"/>
          <w:lang w:val="uk-UA" w:eastAsia="zh-CN"/>
        </w:rPr>
        <w:t xml:space="preserve"> змінами, </w:t>
      </w:r>
      <w:r w:rsidR="00883DC3">
        <w:rPr>
          <w:rFonts w:eastAsia="SimSun"/>
          <w:sz w:val="28"/>
          <w:szCs w:val="28"/>
          <w:lang w:val="uk-UA" w:eastAsia="zh-CN"/>
        </w:rPr>
        <w:t>а саме:</w:t>
      </w:r>
    </w:p>
    <w:p w:rsidR="00AB71DB" w:rsidRDefault="00AB71DB" w:rsidP="008E0D4B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 w:rsidRPr="00453D66">
        <w:rPr>
          <w:rFonts w:eastAsia="SimSun"/>
          <w:sz w:val="28"/>
          <w:szCs w:val="28"/>
          <w:lang w:val="uk-UA" w:eastAsia="zh-CN"/>
        </w:rPr>
        <w:t xml:space="preserve">    </w:t>
      </w:r>
      <w:r w:rsidR="00DA32C9" w:rsidRPr="00434B4E">
        <w:rPr>
          <w:rFonts w:eastAsia="SimSun"/>
          <w:sz w:val="28"/>
          <w:szCs w:val="28"/>
          <w:lang w:val="uk-UA" w:eastAsia="zh-CN"/>
        </w:rPr>
        <w:t>1.</w:t>
      </w:r>
      <w:r w:rsidR="00AF3AA0" w:rsidRPr="00434B4E">
        <w:rPr>
          <w:rFonts w:eastAsia="SimSun"/>
          <w:sz w:val="28"/>
          <w:szCs w:val="28"/>
          <w:lang w:val="uk-UA" w:eastAsia="zh-CN"/>
        </w:rPr>
        <w:t>1</w:t>
      </w:r>
      <w:r w:rsidRPr="00434B4E">
        <w:rPr>
          <w:rFonts w:eastAsia="SimSun"/>
          <w:sz w:val="28"/>
          <w:szCs w:val="28"/>
          <w:lang w:val="uk-UA" w:eastAsia="zh-CN"/>
        </w:rPr>
        <w:t xml:space="preserve"> </w:t>
      </w:r>
      <w:r w:rsidR="00DA32C9" w:rsidRPr="00434B4E">
        <w:rPr>
          <w:rFonts w:eastAsia="SimSun"/>
          <w:sz w:val="28"/>
          <w:szCs w:val="28"/>
          <w:lang w:val="uk-UA" w:eastAsia="zh-CN"/>
        </w:rPr>
        <w:t>в пункті 2 рішення слова та цифри „</w:t>
      </w:r>
      <w:r w:rsidR="004419AB" w:rsidRPr="00434B4E">
        <w:rPr>
          <w:rFonts w:eastAsia="SimSun"/>
          <w:sz w:val="28"/>
          <w:szCs w:val="28"/>
          <w:lang w:val="uk-UA" w:eastAsia="zh-CN"/>
        </w:rPr>
        <w:t>3</w:t>
      </w:r>
      <w:r w:rsidR="00434B4E" w:rsidRPr="00434B4E">
        <w:rPr>
          <w:rFonts w:eastAsia="SimSun"/>
          <w:sz w:val="28"/>
          <w:szCs w:val="28"/>
          <w:lang w:val="uk-UA" w:eastAsia="zh-CN"/>
        </w:rPr>
        <w:t>1</w:t>
      </w:r>
      <w:r w:rsidR="004419AB" w:rsidRPr="00434B4E">
        <w:rPr>
          <w:rFonts w:eastAsia="SimSun"/>
          <w:sz w:val="28"/>
          <w:szCs w:val="28"/>
          <w:lang w:val="uk-UA" w:eastAsia="zh-CN"/>
        </w:rPr>
        <w:t xml:space="preserve"> </w:t>
      </w:r>
      <w:r w:rsidR="00434B4E" w:rsidRPr="00434B4E">
        <w:rPr>
          <w:rFonts w:eastAsia="SimSun"/>
          <w:sz w:val="28"/>
          <w:szCs w:val="28"/>
          <w:lang w:val="uk-UA" w:eastAsia="zh-CN"/>
        </w:rPr>
        <w:t>грудня</w:t>
      </w:r>
      <w:r w:rsidR="004419AB" w:rsidRPr="00434B4E">
        <w:rPr>
          <w:rFonts w:eastAsia="SimSun"/>
          <w:sz w:val="28"/>
          <w:szCs w:val="28"/>
          <w:lang w:val="uk-UA" w:eastAsia="zh-CN"/>
        </w:rPr>
        <w:t xml:space="preserve"> 2022 року</w:t>
      </w:r>
      <w:r w:rsidR="00DA32C9" w:rsidRPr="00434B4E">
        <w:rPr>
          <w:rFonts w:eastAsia="SimSun"/>
          <w:sz w:val="28"/>
          <w:szCs w:val="28"/>
          <w:lang w:val="uk-UA" w:eastAsia="zh-CN"/>
        </w:rPr>
        <w:t>“ замінити словами та цифрами</w:t>
      </w:r>
      <w:r w:rsidR="00321926" w:rsidRPr="00434B4E">
        <w:rPr>
          <w:rFonts w:eastAsia="SimSun"/>
          <w:sz w:val="28"/>
          <w:szCs w:val="28"/>
          <w:lang w:val="uk-UA" w:eastAsia="zh-CN"/>
        </w:rPr>
        <w:t xml:space="preserve"> </w:t>
      </w:r>
      <w:r w:rsidR="00DA32C9" w:rsidRPr="00434B4E">
        <w:rPr>
          <w:rFonts w:eastAsia="SimSun"/>
          <w:sz w:val="28"/>
          <w:szCs w:val="28"/>
          <w:lang w:val="uk-UA" w:eastAsia="zh-CN"/>
        </w:rPr>
        <w:t>„</w:t>
      </w:r>
      <w:r w:rsidR="00321926" w:rsidRPr="00434B4E">
        <w:rPr>
          <w:rFonts w:eastAsia="SimSun"/>
          <w:sz w:val="28"/>
          <w:szCs w:val="28"/>
          <w:lang w:val="uk-UA" w:eastAsia="zh-CN"/>
        </w:rPr>
        <w:t>31 грудня 202</w:t>
      </w:r>
      <w:r w:rsidR="002C1262" w:rsidRPr="00434B4E">
        <w:rPr>
          <w:rFonts w:eastAsia="SimSun"/>
          <w:sz w:val="28"/>
          <w:szCs w:val="28"/>
          <w:lang w:val="uk-UA" w:eastAsia="zh-CN"/>
        </w:rPr>
        <w:t>4</w:t>
      </w:r>
      <w:r w:rsidR="00321926" w:rsidRPr="00434B4E">
        <w:rPr>
          <w:rFonts w:eastAsia="SimSun"/>
          <w:sz w:val="28"/>
          <w:szCs w:val="28"/>
          <w:lang w:val="uk-UA" w:eastAsia="zh-CN"/>
        </w:rPr>
        <w:t xml:space="preserve"> року</w:t>
      </w:r>
      <w:r w:rsidR="00DA32C9" w:rsidRPr="00434B4E">
        <w:rPr>
          <w:rFonts w:eastAsia="SimSun"/>
          <w:sz w:val="28"/>
          <w:szCs w:val="28"/>
          <w:lang w:val="uk-UA" w:eastAsia="zh-CN"/>
        </w:rPr>
        <w:t>“</w:t>
      </w:r>
      <w:r w:rsidR="00AC7145">
        <w:rPr>
          <w:rFonts w:eastAsia="SimSun"/>
          <w:sz w:val="28"/>
          <w:szCs w:val="28"/>
          <w:lang w:val="uk-UA" w:eastAsia="zh-CN"/>
        </w:rPr>
        <w:t>;</w:t>
      </w:r>
    </w:p>
    <w:p w:rsidR="00A82950" w:rsidRDefault="00A82950" w:rsidP="008E0D4B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    1.</w:t>
      </w:r>
      <w:r w:rsidR="00AF3AA0">
        <w:rPr>
          <w:rFonts w:eastAsia="SimSun"/>
          <w:sz w:val="28"/>
          <w:szCs w:val="28"/>
          <w:lang w:val="uk-UA" w:eastAsia="zh-CN"/>
        </w:rPr>
        <w:t>2</w:t>
      </w:r>
      <w:r>
        <w:rPr>
          <w:rFonts w:eastAsia="SimSun"/>
          <w:sz w:val="28"/>
          <w:szCs w:val="28"/>
          <w:lang w:val="uk-UA" w:eastAsia="zh-CN"/>
        </w:rPr>
        <w:t xml:space="preserve"> </w:t>
      </w:r>
      <w:r w:rsidR="00A91073">
        <w:rPr>
          <w:rFonts w:eastAsia="SimSun"/>
          <w:sz w:val="28"/>
          <w:szCs w:val="28"/>
          <w:lang w:val="uk-UA" w:eastAsia="zh-CN"/>
        </w:rPr>
        <w:t xml:space="preserve">пункт 5 </w:t>
      </w:r>
      <w:r>
        <w:rPr>
          <w:rFonts w:eastAsia="SimSun"/>
          <w:sz w:val="28"/>
          <w:szCs w:val="28"/>
          <w:lang w:val="uk-UA" w:eastAsia="zh-CN"/>
        </w:rPr>
        <w:t xml:space="preserve">викласти </w:t>
      </w:r>
      <w:r w:rsidR="00A91073">
        <w:rPr>
          <w:rFonts w:eastAsia="SimSun"/>
          <w:sz w:val="28"/>
          <w:szCs w:val="28"/>
          <w:lang w:val="uk-UA" w:eastAsia="zh-CN"/>
        </w:rPr>
        <w:t>в</w:t>
      </w:r>
      <w:r>
        <w:rPr>
          <w:rFonts w:eastAsia="SimSun"/>
          <w:sz w:val="28"/>
          <w:szCs w:val="28"/>
          <w:lang w:val="uk-UA" w:eastAsia="zh-CN"/>
        </w:rPr>
        <w:t xml:space="preserve"> </w:t>
      </w:r>
      <w:r w:rsidR="00D94BE5">
        <w:rPr>
          <w:rFonts w:eastAsia="SimSun"/>
          <w:sz w:val="28"/>
          <w:szCs w:val="28"/>
          <w:lang w:val="uk-UA" w:eastAsia="zh-CN"/>
        </w:rPr>
        <w:t>такій</w:t>
      </w:r>
      <w:r>
        <w:rPr>
          <w:rFonts w:eastAsia="SimSun"/>
          <w:sz w:val="28"/>
          <w:szCs w:val="28"/>
          <w:lang w:val="uk-UA" w:eastAsia="zh-CN"/>
        </w:rPr>
        <w:t xml:space="preserve"> редакції:</w:t>
      </w:r>
      <w:r w:rsidR="00D94BE5">
        <w:rPr>
          <w:rFonts w:eastAsia="SimSun"/>
          <w:sz w:val="28"/>
          <w:szCs w:val="28"/>
          <w:lang w:val="uk-UA" w:eastAsia="zh-CN"/>
        </w:rPr>
        <w:t xml:space="preserve"> </w:t>
      </w:r>
      <w:r w:rsidRPr="00A82950">
        <w:rPr>
          <w:rFonts w:eastAsia="SimSun"/>
          <w:sz w:val="28"/>
          <w:szCs w:val="28"/>
          <w:lang w:val="uk-UA" w:eastAsia="zh-CN"/>
        </w:rPr>
        <w:t>„</w:t>
      </w:r>
      <w:r w:rsidR="00A91073">
        <w:rPr>
          <w:rFonts w:eastAsia="SimSun"/>
          <w:sz w:val="28"/>
          <w:szCs w:val="28"/>
          <w:lang w:val="uk-UA" w:eastAsia="zh-CN"/>
        </w:rPr>
        <w:t>5.</w:t>
      </w:r>
      <w:r w:rsidRPr="00A82950">
        <w:t xml:space="preserve"> </w:t>
      </w:r>
      <w:r w:rsidRPr="00A82950">
        <w:rPr>
          <w:rFonts w:eastAsia="SimSun"/>
          <w:sz w:val="28"/>
          <w:szCs w:val="28"/>
          <w:lang w:val="uk-UA" w:eastAsia="zh-CN"/>
        </w:rPr>
        <w:t>Визначити перелік індикаторів та їх значення на розроблення Комплексного плану</w:t>
      </w:r>
      <w:r>
        <w:rPr>
          <w:rFonts w:eastAsia="SimSun"/>
          <w:sz w:val="28"/>
          <w:szCs w:val="28"/>
          <w:lang w:val="uk-UA" w:eastAsia="zh-CN"/>
        </w:rPr>
        <w:t xml:space="preserve"> (додаток 1)</w:t>
      </w:r>
      <w:r w:rsidR="00A91073">
        <w:rPr>
          <w:rFonts w:eastAsia="SimSun"/>
          <w:sz w:val="28"/>
          <w:szCs w:val="28"/>
          <w:lang w:val="uk-UA" w:eastAsia="zh-CN"/>
        </w:rPr>
        <w:t>.</w:t>
      </w:r>
      <w:r w:rsidR="00E05878" w:rsidRPr="00E05878">
        <w:rPr>
          <w:rFonts w:eastAsia="SimSun"/>
          <w:sz w:val="28"/>
          <w:szCs w:val="28"/>
          <w:lang w:val="uk-UA" w:eastAsia="zh-CN"/>
        </w:rPr>
        <w:t>“</w:t>
      </w:r>
      <w:r>
        <w:rPr>
          <w:rFonts w:eastAsia="SimSun"/>
          <w:sz w:val="28"/>
          <w:szCs w:val="28"/>
          <w:lang w:val="uk-UA" w:eastAsia="zh-CN"/>
        </w:rPr>
        <w:t>;</w:t>
      </w:r>
    </w:p>
    <w:p w:rsidR="00CB314E" w:rsidRDefault="00A82950" w:rsidP="008E0D4B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    1.</w:t>
      </w:r>
      <w:r w:rsidR="00AF3AA0">
        <w:rPr>
          <w:rFonts w:eastAsia="SimSun"/>
          <w:sz w:val="28"/>
          <w:szCs w:val="28"/>
          <w:lang w:val="uk-UA" w:eastAsia="zh-CN"/>
        </w:rPr>
        <w:t>3</w:t>
      </w:r>
      <w:r>
        <w:rPr>
          <w:rFonts w:eastAsia="SimSun"/>
          <w:sz w:val="28"/>
          <w:szCs w:val="28"/>
          <w:lang w:val="uk-UA" w:eastAsia="zh-CN"/>
        </w:rPr>
        <w:t xml:space="preserve"> доповнити пункт 7 </w:t>
      </w:r>
      <w:r w:rsidR="00FA316B">
        <w:rPr>
          <w:rFonts w:eastAsia="SimSun"/>
          <w:sz w:val="28"/>
          <w:szCs w:val="28"/>
          <w:lang w:val="uk-UA" w:eastAsia="zh-CN"/>
        </w:rPr>
        <w:t>новим підпунктом такого змісту</w:t>
      </w:r>
      <w:r>
        <w:rPr>
          <w:rFonts w:eastAsia="SimSun"/>
          <w:sz w:val="28"/>
          <w:szCs w:val="28"/>
          <w:lang w:val="uk-UA" w:eastAsia="zh-CN"/>
        </w:rPr>
        <w:t>:</w:t>
      </w:r>
      <w:r w:rsidR="00CB314E">
        <w:rPr>
          <w:rFonts w:eastAsia="SimSun"/>
          <w:sz w:val="28"/>
          <w:szCs w:val="28"/>
          <w:lang w:val="uk-UA" w:eastAsia="zh-CN"/>
        </w:rPr>
        <w:t xml:space="preserve"> </w:t>
      </w:r>
      <w:r w:rsidR="00E05878" w:rsidRPr="00E05878">
        <w:rPr>
          <w:rFonts w:eastAsia="SimSun"/>
          <w:sz w:val="28"/>
          <w:szCs w:val="28"/>
          <w:lang w:val="uk-UA" w:eastAsia="zh-CN"/>
        </w:rPr>
        <w:t>„</w:t>
      </w:r>
      <w:r w:rsidR="00A91073">
        <w:rPr>
          <w:rFonts w:eastAsia="SimSun"/>
          <w:sz w:val="28"/>
          <w:szCs w:val="28"/>
          <w:lang w:val="uk-UA" w:eastAsia="zh-CN"/>
        </w:rPr>
        <w:t xml:space="preserve">7.13. </w:t>
      </w:r>
      <w:r w:rsidR="00CB314E">
        <w:rPr>
          <w:rFonts w:eastAsia="SimSun"/>
          <w:sz w:val="28"/>
          <w:szCs w:val="28"/>
          <w:lang w:val="uk-UA" w:eastAsia="zh-CN"/>
        </w:rPr>
        <w:t>Оприлюднити прогнозовані наслідки розроблення Комплексного плану (додаток 2).</w:t>
      </w:r>
      <w:r w:rsidR="00E05878" w:rsidRPr="00E05878">
        <w:t xml:space="preserve"> </w:t>
      </w:r>
      <w:r w:rsidR="00E05878" w:rsidRPr="00E05878">
        <w:rPr>
          <w:rFonts w:eastAsia="SimSun"/>
          <w:sz w:val="28"/>
          <w:szCs w:val="28"/>
          <w:lang w:val="uk-UA" w:eastAsia="zh-CN"/>
        </w:rPr>
        <w:t>“</w:t>
      </w:r>
      <w:r w:rsidR="00A91073">
        <w:rPr>
          <w:rFonts w:eastAsia="SimSun"/>
          <w:sz w:val="28"/>
          <w:szCs w:val="28"/>
          <w:lang w:val="uk-UA" w:eastAsia="zh-CN"/>
        </w:rPr>
        <w:t>.</w:t>
      </w:r>
    </w:p>
    <w:p w:rsidR="00D94BE5" w:rsidRPr="00453D66" w:rsidRDefault="00D94BE5" w:rsidP="008E0D4B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    2</w:t>
      </w:r>
      <w:r w:rsidRPr="00D94BE5">
        <w:rPr>
          <w:rFonts w:eastAsia="SimSun"/>
          <w:sz w:val="28"/>
          <w:szCs w:val="28"/>
          <w:lang w:val="uk-UA" w:eastAsia="zh-CN"/>
        </w:rPr>
        <w:t xml:space="preserve">. Додатки 1, </w:t>
      </w:r>
      <w:r>
        <w:rPr>
          <w:rFonts w:eastAsia="SimSun"/>
          <w:sz w:val="28"/>
          <w:szCs w:val="28"/>
          <w:lang w:val="uk-UA" w:eastAsia="zh-CN"/>
        </w:rPr>
        <w:t>2</w:t>
      </w:r>
      <w:r w:rsidRPr="00D94BE5">
        <w:rPr>
          <w:rFonts w:eastAsia="SimSun"/>
          <w:sz w:val="28"/>
          <w:szCs w:val="28"/>
          <w:lang w:val="uk-UA" w:eastAsia="zh-CN"/>
        </w:rPr>
        <w:t xml:space="preserve"> до рішення є його невід’ємною частиною.</w:t>
      </w:r>
    </w:p>
    <w:p w:rsidR="00B12FD9" w:rsidRPr="00CA271B" w:rsidRDefault="00FD661A" w:rsidP="008E0D4B">
      <w:pPr>
        <w:tabs>
          <w:tab w:val="left" w:pos="360"/>
        </w:tabs>
        <w:ind w:right="-1"/>
        <w:jc w:val="both"/>
        <w:rPr>
          <w:sz w:val="28"/>
          <w:szCs w:val="28"/>
          <w:lang w:val="uk-UA"/>
        </w:rPr>
      </w:pPr>
      <w:r>
        <w:rPr>
          <w:rFonts w:eastAsia="SimSun"/>
          <w:sz w:val="28"/>
          <w:szCs w:val="28"/>
          <w:lang w:val="uk-UA" w:eastAsia="zh-CN"/>
        </w:rPr>
        <w:t xml:space="preserve">    </w:t>
      </w:r>
      <w:r w:rsidR="00D94BE5">
        <w:rPr>
          <w:rFonts w:eastAsia="SimSun"/>
          <w:sz w:val="28"/>
          <w:szCs w:val="28"/>
          <w:lang w:val="uk-UA" w:eastAsia="zh-CN"/>
        </w:rPr>
        <w:t>3</w:t>
      </w:r>
      <w:r w:rsidR="008E0D4B" w:rsidRPr="008E0D4B">
        <w:rPr>
          <w:rFonts w:eastAsia="SimSun"/>
          <w:sz w:val="28"/>
          <w:szCs w:val="28"/>
          <w:lang w:val="uk-UA" w:eastAsia="zh-CN"/>
        </w:rPr>
        <w:t xml:space="preserve">. </w:t>
      </w:r>
      <w:r w:rsidR="00F95887" w:rsidRPr="00F95887">
        <w:rPr>
          <w:rFonts w:eastAsia="Calibri"/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містобудування, архітектури та земельних відносин.</w:t>
      </w:r>
    </w:p>
    <w:p w:rsidR="00B12FD9" w:rsidRPr="004F785D" w:rsidRDefault="00B12FD9" w:rsidP="00B12FD9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</w:p>
    <w:p w:rsidR="00F95887" w:rsidRDefault="00F95887" w:rsidP="00B12FD9">
      <w:pPr>
        <w:ind w:right="-83"/>
        <w:jc w:val="both"/>
        <w:rPr>
          <w:sz w:val="28"/>
          <w:szCs w:val="28"/>
          <w:lang w:val="uk-UA"/>
        </w:rPr>
      </w:pPr>
    </w:p>
    <w:p w:rsidR="00D2583C" w:rsidRDefault="00D2583C" w:rsidP="00B12FD9">
      <w:pPr>
        <w:ind w:right="-83"/>
        <w:jc w:val="both"/>
        <w:rPr>
          <w:sz w:val="28"/>
          <w:szCs w:val="28"/>
          <w:lang w:val="uk-UA"/>
        </w:rPr>
      </w:pPr>
    </w:p>
    <w:p w:rsidR="001C04C7" w:rsidRDefault="00B12FD9" w:rsidP="00804AF9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5B46D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</w:t>
      </w:r>
      <w:r w:rsidR="005B46D2">
        <w:rPr>
          <w:sz w:val="28"/>
          <w:szCs w:val="28"/>
          <w:lang w:val="uk-UA"/>
        </w:rPr>
        <w:t>Микола БОРОВЕЦЬ</w:t>
      </w:r>
    </w:p>
    <w:p w:rsidR="004464CD" w:rsidRDefault="004464CD" w:rsidP="00804AF9">
      <w:pPr>
        <w:ind w:right="-83"/>
        <w:jc w:val="both"/>
        <w:rPr>
          <w:sz w:val="28"/>
          <w:szCs w:val="28"/>
          <w:lang w:val="uk-UA"/>
        </w:rPr>
      </w:pPr>
    </w:p>
    <w:p w:rsidR="004464CD" w:rsidRDefault="004464CD" w:rsidP="00804AF9">
      <w:pPr>
        <w:ind w:right="-83"/>
        <w:jc w:val="both"/>
        <w:rPr>
          <w:sz w:val="28"/>
          <w:szCs w:val="28"/>
          <w:lang w:val="uk-UA"/>
        </w:rPr>
      </w:pPr>
    </w:p>
    <w:p w:rsidR="00C00D25" w:rsidRDefault="00C00D25" w:rsidP="00804AF9">
      <w:pPr>
        <w:ind w:right="-83"/>
        <w:jc w:val="both"/>
        <w:rPr>
          <w:sz w:val="28"/>
          <w:szCs w:val="28"/>
          <w:lang w:val="uk-UA"/>
        </w:rPr>
      </w:pPr>
    </w:p>
    <w:p w:rsidR="00C00D25" w:rsidRDefault="00C00D25" w:rsidP="00804AF9">
      <w:pPr>
        <w:ind w:right="-83"/>
        <w:jc w:val="both"/>
        <w:rPr>
          <w:sz w:val="28"/>
          <w:szCs w:val="28"/>
          <w:lang w:val="uk-UA"/>
        </w:rPr>
      </w:pPr>
    </w:p>
    <w:p w:rsidR="004464CD" w:rsidRDefault="004464CD" w:rsidP="00804AF9">
      <w:pPr>
        <w:ind w:right="-83"/>
        <w:jc w:val="both"/>
        <w:rPr>
          <w:sz w:val="28"/>
          <w:szCs w:val="28"/>
          <w:lang w:val="uk-UA"/>
        </w:rPr>
      </w:pPr>
    </w:p>
    <w:p w:rsidR="004464CD" w:rsidRDefault="004464CD" w:rsidP="00804AF9">
      <w:pPr>
        <w:ind w:right="-83"/>
        <w:jc w:val="both"/>
        <w:rPr>
          <w:sz w:val="28"/>
          <w:szCs w:val="28"/>
          <w:lang w:val="uk-UA"/>
        </w:rPr>
      </w:pPr>
    </w:p>
    <w:p w:rsidR="004464CD" w:rsidRDefault="004464CD" w:rsidP="004464CD">
      <w:pPr>
        <w:ind w:right="-8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Порівняльна таблиця до проекту рішення</w:t>
      </w:r>
    </w:p>
    <w:p w:rsidR="004464CD" w:rsidRDefault="004464CD" w:rsidP="004464CD">
      <w:pPr>
        <w:ind w:right="-83"/>
        <w:jc w:val="center"/>
        <w:rPr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464CD" w:rsidTr="004464CD">
        <w:tc>
          <w:tcPr>
            <w:tcW w:w="4927" w:type="dxa"/>
          </w:tcPr>
          <w:p w:rsidR="004464CD" w:rsidRPr="0024683B" w:rsidRDefault="0024683B" w:rsidP="004464CD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2468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змін</w:t>
            </w:r>
          </w:p>
        </w:tc>
        <w:tc>
          <w:tcPr>
            <w:tcW w:w="4928" w:type="dxa"/>
          </w:tcPr>
          <w:p w:rsidR="004464CD" w:rsidRPr="0024683B" w:rsidRDefault="0024683B" w:rsidP="004464CD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 змін</w:t>
            </w:r>
          </w:p>
        </w:tc>
      </w:tr>
      <w:tr w:rsidR="004464CD" w:rsidTr="004464CD">
        <w:tc>
          <w:tcPr>
            <w:tcW w:w="4927" w:type="dxa"/>
          </w:tcPr>
          <w:p w:rsidR="004464CD" w:rsidRPr="0024683B" w:rsidRDefault="00E17490" w:rsidP="00434B4E">
            <w:pPr>
              <w:ind w:right="-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Встановити строки проведення підготовчих процедур розроблення Комплексного плану до </w:t>
            </w:r>
            <w:r w:rsidRPr="001627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434B4E" w:rsidRPr="001627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1627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434B4E" w:rsidRPr="001627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груд</w:t>
            </w:r>
            <w:r w:rsidRPr="001627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ня 2022 року</w:t>
            </w:r>
            <w:r w:rsidRPr="00E17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28" w:type="dxa"/>
          </w:tcPr>
          <w:p w:rsidR="004464CD" w:rsidRPr="0024683B" w:rsidRDefault="00E17490" w:rsidP="00434B4E">
            <w:pPr>
              <w:ind w:right="-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Встановити строки проведення підготовчих процедур розроблення Комплексного плану до </w:t>
            </w:r>
            <w:r w:rsidRPr="00E174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 грудня 202</w:t>
            </w:r>
            <w:r w:rsidR="00434B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E174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року</w:t>
            </w:r>
            <w:r w:rsidRPr="00E17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34B4E" w:rsidTr="004464CD">
        <w:tc>
          <w:tcPr>
            <w:tcW w:w="4927" w:type="dxa"/>
          </w:tcPr>
          <w:p w:rsidR="00434B4E" w:rsidRPr="00434B4E" w:rsidRDefault="00434B4E" w:rsidP="00434B4E">
            <w:pPr>
              <w:ind w:right="-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B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Визначити перелік індикаторів та їх значення на розроблення Комплексного плану:</w:t>
            </w:r>
          </w:p>
          <w:p w:rsidR="00434B4E" w:rsidRPr="00C00D25" w:rsidRDefault="00434B4E" w:rsidP="00434B4E">
            <w:pPr>
              <w:ind w:right="-8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0D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1) площа територіальної громади (кв. км);</w:t>
            </w:r>
          </w:p>
          <w:p w:rsidR="00434B4E" w:rsidRPr="00C00D25" w:rsidRDefault="00434B4E" w:rsidP="00434B4E">
            <w:pPr>
              <w:ind w:right="-8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0D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2) чисельність населення громади (кількість осіб);</w:t>
            </w:r>
          </w:p>
          <w:p w:rsidR="00434B4E" w:rsidRPr="00C00D25" w:rsidRDefault="00434B4E" w:rsidP="00434B4E">
            <w:pPr>
              <w:ind w:right="-8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0D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3) кількість населених пунктів у складі громади (одиниць); </w:t>
            </w:r>
          </w:p>
          <w:p w:rsidR="00434B4E" w:rsidRPr="00C00D25" w:rsidRDefault="00434B4E" w:rsidP="00434B4E">
            <w:pPr>
              <w:ind w:right="-8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0D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4) розподіл територій за функціональним призначенням (га); </w:t>
            </w:r>
          </w:p>
          <w:p w:rsidR="00434B4E" w:rsidRPr="00C00D25" w:rsidRDefault="00434B4E" w:rsidP="00434B4E">
            <w:pPr>
              <w:ind w:right="-8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0D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5) потужність об’єктів обслуговування (місткість);</w:t>
            </w:r>
          </w:p>
          <w:p w:rsidR="00434B4E" w:rsidRPr="00C00D25" w:rsidRDefault="00434B4E" w:rsidP="00434B4E">
            <w:pPr>
              <w:ind w:right="-8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0D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6) наявність робочих місць (кількість одиниць);</w:t>
            </w:r>
          </w:p>
          <w:p w:rsidR="00434B4E" w:rsidRPr="00C00D25" w:rsidRDefault="00434B4E" w:rsidP="00434B4E">
            <w:pPr>
              <w:ind w:right="-8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0D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7) площа житлового фонду (кв. м); </w:t>
            </w:r>
          </w:p>
          <w:p w:rsidR="00434B4E" w:rsidRPr="00E17490" w:rsidRDefault="00434B4E" w:rsidP="00434B4E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C00D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8) протяжність автомобільних доріг з твердим покриттям (км).</w:t>
            </w:r>
          </w:p>
        </w:tc>
        <w:tc>
          <w:tcPr>
            <w:tcW w:w="4928" w:type="dxa"/>
          </w:tcPr>
          <w:p w:rsidR="00434B4E" w:rsidRPr="00434B4E" w:rsidRDefault="00434B4E" w:rsidP="00434B4E">
            <w:pPr>
              <w:ind w:right="-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B4E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5.</w:t>
            </w:r>
            <w:r w:rsidRPr="00434B4E">
              <w:rPr>
                <w:rFonts w:ascii="Times New Roman" w:hAnsi="Times New Roman" w:cs="Times New Roman"/>
              </w:rPr>
              <w:t xml:space="preserve"> </w:t>
            </w:r>
            <w:r w:rsidRPr="00434B4E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Визначити перелік індикаторів та їх значення на розроблення Комплексного плану </w:t>
            </w:r>
            <w:r w:rsidRPr="00C00D25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zh-CN"/>
              </w:rPr>
              <w:t>(додаток 1).</w:t>
            </w:r>
          </w:p>
        </w:tc>
      </w:tr>
      <w:tr w:rsidR="00434B4E" w:rsidTr="004464CD">
        <w:tc>
          <w:tcPr>
            <w:tcW w:w="4927" w:type="dxa"/>
          </w:tcPr>
          <w:p w:rsidR="00434B4E" w:rsidRDefault="00C00D25" w:rsidP="00434B4E">
            <w:pPr>
              <w:ind w:right="-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  <w:p w:rsidR="00C00D25" w:rsidRPr="00434B4E" w:rsidRDefault="00C00D25" w:rsidP="00434B4E">
            <w:pPr>
              <w:ind w:right="-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:rsidR="00434B4E" w:rsidRPr="00056AA1" w:rsidRDefault="00434B4E" w:rsidP="00434B4E">
            <w:pPr>
              <w:ind w:right="-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A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7.13. Оприлюднити прогнозовані наслідки розроблення Комплексного плану (додаток 2).</w:t>
            </w:r>
          </w:p>
        </w:tc>
      </w:tr>
    </w:tbl>
    <w:p w:rsidR="004464CD" w:rsidRDefault="004464CD" w:rsidP="004464CD">
      <w:pPr>
        <w:ind w:right="-83"/>
        <w:jc w:val="center"/>
        <w:rPr>
          <w:sz w:val="28"/>
          <w:szCs w:val="28"/>
          <w:lang w:val="uk-UA"/>
        </w:rPr>
      </w:pPr>
    </w:p>
    <w:p w:rsidR="00E17490" w:rsidRDefault="00E17490" w:rsidP="004464CD">
      <w:pPr>
        <w:ind w:right="-83"/>
        <w:jc w:val="center"/>
        <w:rPr>
          <w:sz w:val="28"/>
          <w:szCs w:val="28"/>
          <w:lang w:val="uk-UA"/>
        </w:rPr>
      </w:pPr>
    </w:p>
    <w:p w:rsidR="00E17490" w:rsidRDefault="00E17490" w:rsidP="004464CD">
      <w:pPr>
        <w:ind w:right="-83"/>
        <w:jc w:val="center"/>
        <w:rPr>
          <w:sz w:val="28"/>
          <w:szCs w:val="28"/>
          <w:lang w:val="uk-UA"/>
        </w:rPr>
      </w:pPr>
    </w:p>
    <w:p w:rsidR="00E17490" w:rsidRPr="00E17490" w:rsidRDefault="00E77ABA" w:rsidP="00E17490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Т.в.о.    н</w:t>
      </w:r>
      <w:r w:rsidR="00E17490" w:rsidRPr="00E17490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а    </w:t>
      </w:r>
      <w:r w:rsidR="00E17490" w:rsidRPr="00E17490">
        <w:rPr>
          <w:sz w:val="28"/>
          <w:szCs w:val="28"/>
          <w:lang w:val="uk-UA"/>
        </w:rPr>
        <w:t xml:space="preserve">управління   </w:t>
      </w:r>
    </w:p>
    <w:p w:rsidR="00E17490" w:rsidRPr="00E17490" w:rsidRDefault="00E77ABA" w:rsidP="00E17490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 архітектури</w:t>
      </w:r>
      <w:r w:rsidR="00E17490" w:rsidRPr="00E17490">
        <w:rPr>
          <w:sz w:val="28"/>
          <w:szCs w:val="28"/>
          <w:lang w:val="uk-UA"/>
        </w:rPr>
        <w:t xml:space="preserve">  та </w:t>
      </w:r>
    </w:p>
    <w:p w:rsidR="00E17490" w:rsidRDefault="00E17490" w:rsidP="00E17490">
      <w:pPr>
        <w:ind w:right="-83"/>
        <w:jc w:val="both"/>
        <w:rPr>
          <w:sz w:val="28"/>
          <w:szCs w:val="28"/>
          <w:lang w:val="uk-UA"/>
        </w:rPr>
      </w:pPr>
      <w:r w:rsidRPr="00E17490">
        <w:rPr>
          <w:sz w:val="28"/>
          <w:szCs w:val="28"/>
          <w:lang w:val="uk-UA"/>
        </w:rPr>
        <w:t xml:space="preserve">земельних відносин міської ради                  </w:t>
      </w:r>
      <w:r w:rsidR="00E77ABA">
        <w:rPr>
          <w:sz w:val="28"/>
          <w:szCs w:val="28"/>
          <w:lang w:val="uk-UA"/>
        </w:rPr>
        <w:t xml:space="preserve">        </w:t>
      </w:r>
      <w:r w:rsidRPr="00E17490">
        <w:rPr>
          <w:sz w:val="28"/>
          <w:szCs w:val="28"/>
          <w:lang w:val="uk-UA"/>
        </w:rPr>
        <w:t xml:space="preserve">              </w:t>
      </w:r>
      <w:r w:rsidR="00E77ABA">
        <w:rPr>
          <w:sz w:val="28"/>
          <w:szCs w:val="28"/>
          <w:lang w:val="uk-UA"/>
        </w:rPr>
        <w:t>Ярослав ОХРИМЕНКО</w:t>
      </w:r>
    </w:p>
    <w:p w:rsidR="007C63FB" w:rsidRDefault="007C63FB" w:rsidP="00E17490">
      <w:pPr>
        <w:ind w:right="-83"/>
        <w:jc w:val="both"/>
        <w:rPr>
          <w:sz w:val="28"/>
          <w:szCs w:val="28"/>
          <w:lang w:val="uk-UA"/>
        </w:rPr>
      </w:pPr>
    </w:p>
    <w:p w:rsidR="007C63FB" w:rsidRDefault="007C63FB" w:rsidP="00E17490">
      <w:pPr>
        <w:ind w:right="-83"/>
        <w:jc w:val="both"/>
        <w:rPr>
          <w:sz w:val="28"/>
          <w:szCs w:val="28"/>
          <w:lang w:val="uk-UA"/>
        </w:rPr>
      </w:pPr>
    </w:p>
    <w:p w:rsidR="007C63FB" w:rsidRDefault="007C63FB" w:rsidP="00E17490">
      <w:pPr>
        <w:ind w:right="-83"/>
        <w:jc w:val="both"/>
        <w:rPr>
          <w:sz w:val="28"/>
          <w:szCs w:val="28"/>
          <w:lang w:val="uk-UA"/>
        </w:rPr>
      </w:pPr>
    </w:p>
    <w:p w:rsidR="007C63FB" w:rsidRDefault="007C63FB" w:rsidP="00E17490">
      <w:pPr>
        <w:ind w:right="-83"/>
        <w:jc w:val="both"/>
        <w:rPr>
          <w:sz w:val="28"/>
          <w:szCs w:val="28"/>
          <w:lang w:val="uk-UA"/>
        </w:rPr>
      </w:pPr>
    </w:p>
    <w:p w:rsidR="007C63FB" w:rsidRDefault="007C63FB" w:rsidP="00E17490">
      <w:pPr>
        <w:ind w:right="-83"/>
        <w:jc w:val="both"/>
        <w:rPr>
          <w:sz w:val="28"/>
          <w:szCs w:val="28"/>
          <w:lang w:val="uk-UA"/>
        </w:rPr>
      </w:pPr>
    </w:p>
    <w:p w:rsidR="007C63FB" w:rsidRDefault="007C63FB" w:rsidP="00E17490">
      <w:pPr>
        <w:ind w:right="-83"/>
        <w:jc w:val="both"/>
        <w:rPr>
          <w:sz w:val="28"/>
          <w:szCs w:val="28"/>
          <w:lang w:val="uk-UA"/>
        </w:rPr>
      </w:pPr>
    </w:p>
    <w:p w:rsidR="007C63FB" w:rsidRDefault="007C63FB" w:rsidP="00E17490">
      <w:pPr>
        <w:ind w:right="-83"/>
        <w:jc w:val="both"/>
        <w:rPr>
          <w:sz w:val="28"/>
          <w:szCs w:val="28"/>
          <w:lang w:val="uk-UA"/>
        </w:rPr>
      </w:pPr>
    </w:p>
    <w:p w:rsidR="007C63FB" w:rsidRDefault="007C63FB" w:rsidP="00E17490">
      <w:pPr>
        <w:ind w:right="-83"/>
        <w:jc w:val="both"/>
        <w:rPr>
          <w:sz w:val="28"/>
          <w:szCs w:val="28"/>
          <w:lang w:val="uk-UA"/>
        </w:rPr>
      </w:pPr>
    </w:p>
    <w:p w:rsidR="007C63FB" w:rsidRDefault="007C63FB" w:rsidP="00E17490">
      <w:pPr>
        <w:ind w:right="-83"/>
        <w:jc w:val="both"/>
        <w:rPr>
          <w:sz w:val="28"/>
          <w:szCs w:val="28"/>
          <w:lang w:val="uk-UA"/>
        </w:rPr>
      </w:pPr>
    </w:p>
    <w:p w:rsidR="007C63FB" w:rsidRDefault="007C63FB" w:rsidP="00E17490">
      <w:pPr>
        <w:ind w:right="-83"/>
        <w:jc w:val="both"/>
        <w:rPr>
          <w:sz w:val="28"/>
          <w:szCs w:val="28"/>
          <w:lang w:val="uk-UA"/>
        </w:rPr>
      </w:pPr>
    </w:p>
    <w:p w:rsidR="005450F7" w:rsidRDefault="005450F7" w:rsidP="00E17490">
      <w:pPr>
        <w:ind w:right="-83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7C63FB" w:rsidRDefault="007C63FB" w:rsidP="00E17490">
      <w:pPr>
        <w:ind w:right="-83"/>
        <w:jc w:val="both"/>
        <w:rPr>
          <w:sz w:val="28"/>
          <w:szCs w:val="28"/>
          <w:lang w:val="uk-UA"/>
        </w:rPr>
      </w:pPr>
    </w:p>
    <w:p w:rsidR="007C63FB" w:rsidRDefault="007C63FB" w:rsidP="00E17490">
      <w:pPr>
        <w:ind w:right="-83"/>
        <w:jc w:val="both"/>
        <w:rPr>
          <w:sz w:val="28"/>
          <w:szCs w:val="28"/>
          <w:lang w:val="uk-UA"/>
        </w:rPr>
      </w:pPr>
    </w:p>
    <w:p w:rsidR="007B428F" w:rsidRPr="00517F92" w:rsidRDefault="007B428F" w:rsidP="007B428F">
      <w:pPr>
        <w:ind w:right="-83"/>
        <w:jc w:val="both"/>
        <w:rPr>
          <w:sz w:val="28"/>
          <w:szCs w:val="28"/>
          <w:lang w:val="uk-UA"/>
        </w:rPr>
      </w:pPr>
      <w:r w:rsidRPr="00517F92"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Додаток</w:t>
      </w:r>
      <w:r>
        <w:rPr>
          <w:sz w:val="28"/>
          <w:szCs w:val="28"/>
          <w:lang w:val="uk-UA"/>
        </w:rPr>
        <w:t xml:space="preserve"> 1</w:t>
      </w:r>
    </w:p>
    <w:p w:rsidR="007B428F" w:rsidRPr="00517F92" w:rsidRDefault="007B428F" w:rsidP="007B428F">
      <w:pPr>
        <w:ind w:right="-83"/>
        <w:jc w:val="both"/>
        <w:rPr>
          <w:sz w:val="28"/>
          <w:szCs w:val="28"/>
          <w:lang w:val="uk-UA"/>
        </w:rPr>
      </w:pPr>
      <w:r w:rsidRPr="00517F92">
        <w:rPr>
          <w:sz w:val="28"/>
          <w:szCs w:val="28"/>
          <w:lang w:val="uk-UA"/>
        </w:rPr>
        <w:t xml:space="preserve">                                                                                           до рішення міської ради</w:t>
      </w:r>
    </w:p>
    <w:p w:rsidR="007B428F" w:rsidRDefault="007B428F" w:rsidP="007B428F">
      <w:pPr>
        <w:ind w:right="-83"/>
        <w:jc w:val="both"/>
        <w:rPr>
          <w:sz w:val="28"/>
          <w:szCs w:val="28"/>
          <w:lang w:val="uk-UA"/>
        </w:rPr>
      </w:pPr>
      <w:r w:rsidRPr="00517F92">
        <w:rPr>
          <w:sz w:val="28"/>
          <w:szCs w:val="28"/>
          <w:lang w:val="uk-UA"/>
        </w:rPr>
        <w:t xml:space="preserve">                                                                                           від </w:t>
      </w:r>
      <w:r>
        <w:rPr>
          <w:sz w:val="28"/>
          <w:szCs w:val="28"/>
          <w:lang w:val="uk-UA"/>
        </w:rPr>
        <w:t xml:space="preserve">                    </w:t>
      </w:r>
      <w:r w:rsidRPr="00517F92">
        <w:rPr>
          <w:sz w:val="28"/>
          <w:szCs w:val="28"/>
          <w:lang w:val="uk-UA"/>
        </w:rPr>
        <w:t xml:space="preserve">  №</w:t>
      </w:r>
    </w:p>
    <w:p w:rsidR="007B428F" w:rsidRPr="00494F49" w:rsidRDefault="007B428F" w:rsidP="007B428F">
      <w:pPr>
        <w:ind w:right="-83"/>
        <w:jc w:val="both"/>
        <w:rPr>
          <w:sz w:val="28"/>
          <w:szCs w:val="28"/>
          <w:lang w:val="uk-UA"/>
        </w:rPr>
      </w:pPr>
    </w:p>
    <w:p w:rsidR="007B428F" w:rsidRDefault="007B428F" w:rsidP="007B428F">
      <w:pPr>
        <w:ind w:right="-83"/>
        <w:jc w:val="center"/>
        <w:rPr>
          <w:sz w:val="28"/>
          <w:szCs w:val="28"/>
          <w:lang w:val="uk-UA"/>
        </w:rPr>
      </w:pPr>
      <w:r w:rsidRPr="00C063E6">
        <w:rPr>
          <w:sz w:val="28"/>
          <w:szCs w:val="28"/>
          <w:lang w:val="uk-UA"/>
        </w:rPr>
        <w:t xml:space="preserve">Перелік індикаторів та їх значення </w:t>
      </w:r>
    </w:p>
    <w:p w:rsidR="007B428F" w:rsidRPr="00C063E6" w:rsidRDefault="007B428F" w:rsidP="007B428F">
      <w:pPr>
        <w:ind w:right="-83"/>
        <w:jc w:val="center"/>
        <w:rPr>
          <w:sz w:val="28"/>
          <w:szCs w:val="28"/>
          <w:lang w:val="uk-UA"/>
        </w:rPr>
      </w:pPr>
      <w:r w:rsidRPr="00C063E6">
        <w:rPr>
          <w:sz w:val="28"/>
          <w:szCs w:val="28"/>
          <w:lang w:val="uk-UA"/>
        </w:rPr>
        <w:t>на розроблення Комплексного плану</w:t>
      </w:r>
      <w:r w:rsidRPr="00C063E6">
        <w:t xml:space="preserve"> </w:t>
      </w:r>
      <w:r w:rsidRPr="00C063E6">
        <w:rPr>
          <w:sz w:val="28"/>
          <w:szCs w:val="28"/>
          <w:lang w:val="uk-UA"/>
        </w:rPr>
        <w:t>просторового розвитку території Звягельської міської територіальної громади</w:t>
      </w:r>
    </w:p>
    <w:p w:rsidR="007B428F" w:rsidRPr="00494F49" w:rsidRDefault="007B428F" w:rsidP="007B428F">
      <w:pPr>
        <w:ind w:right="-83"/>
        <w:jc w:val="both"/>
        <w:rPr>
          <w:b/>
          <w:sz w:val="28"/>
          <w:szCs w:val="28"/>
          <w:lang w:val="uk-UA"/>
        </w:rPr>
      </w:pPr>
    </w:p>
    <w:tbl>
      <w:tblPr>
        <w:tblW w:w="967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2126"/>
        <w:gridCol w:w="1418"/>
        <w:gridCol w:w="2018"/>
      </w:tblGrid>
      <w:tr w:rsidR="007B428F" w:rsidRPr="00494F49" w:rsidTr="00094007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C063E6" w:rsidRDefault="007B428F" w:rsidP="00DF67A9">
            <w:pPr>
              <w:ind w:right="-83"/>
              <w:jc w:val="center"/>
              <w:rPr>
                <w:lang w:val="uk-UA"/>
              </w:rPr>
            </w:pPr>
            <w:r w:rsidRPr="00C063E6">
              <w:rPr>
                <w:lang w:val="uk-UA"/>
              </w:rPr>
              <w:t>№</w:t>
            </w:r>
            <w:r w:rsidRPr="00C063E6">
              <w:rPr>
                <w:lang w:val="uk-UA"/>
              </w:rPr>
              <w:br/>
              <w:t>з/п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C063E6" w:rsidRDefault="007B428F" w:rsidP="00DF67A9">
            <w:pPr>
              <w:ind w:right="-83"/>
              <w:jc w:val="center"/>
              <w:rPr>
                <w:lang w:val="uk-UA"/>
              </w:rPr>
            </w:pPr>
            <w:r w:rsidRPr="00C063E6">
              <w:rPr>
                <w:lang w:val="uk-UA"/>
              </w:rPr>
              <w:t>Показник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C063E6" w:rsidRDefault="007B428F" w:rsidP="00DF67A9">
            <w:pPr>
              <w:ind w:right="-83"/>
              <w:jc w:val="center"/>
              <w:rPr>
                <w:lang w:val="uk-UA"/>
              </w:rPr>
            </w:pPr>
            <w:r w:rsidRPr="00C063E6">
              <w:rPr>
                <w:lang w:val="uk-UA"/>
              </w:rPr>
              <w:t>Одиниці виміру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C063E6" w:rsidRDefault="007B428F" w:rsidP="00DF67A9">
            <w:pPr>
              <w:ind w:right="-83"/>
              <w:jc w:val="center"/>
              <w:rPr>
                <w:lang w:val="uk-UA"/>
              </w:rPr>
            </w:pPr>
            <w:r w:rsidRPr="00C063E6">
              <w:rPr>
                <w:lang w:val="uk-UA"/>
              </w:rPr>
              <w:t>Існуючий стан</w:t>
            </w:r>
          </w:p>
          <w:p w:rsidR="007B428F" w:rsidRPr="00C063E6" w:rsidRDefault="007B428F" w:rsidP="007B428F">
            <w:pPr>
              <w:ind w:right="-83"/>
              <w:jc w:val="center"/>
              <w:rPr>
                <w:lang w:val="uk-UA"/>
              </w:rPr>
            </w:pPr>
            <w:r w:rsidRPr="00C063E6">
              <w:rPr>
                <w:lang w:val="uk-UA"/>
              </w:rPr>
              <w:t>(202</w:t>
            </w:r>
            <w:r>
              <w:rPr>
                <w:lang w:val="uk-UA"/>
              </w:rPr>
              <w:t>3</w:t>
            </w:r>
            <w:r w:rsidRPr="00C063E6">
              <w:rPr>
                <w:lang w:val="uk-UA"/>
              </w:rPr>
              <w:t xml:space="preserve"> рік)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C063E6" w:rsidRDefault="007B428F" w:rsidP="00DF67A9">
            <w:pPr>
              <w:ind w:right="-83"/>
              <w:jc w:val="center"/>
              <w:rPr>
                <w:lang w:val="uk-UA"/>
              </w:rPr>
            </w:pPr>
            <w:r w:rsidRPr="00C063E6">
              <w:rPr>
                <w:lang w:val="uk-UA"/>
              </w:rPr>
              <w:t>Бажане значення</w:t>
            </w:r>
          </w:p>
        </w:tc>
      </w:tr>
      <w:tr w:rsidR="007B428F" w:rsidRPr="00494F49" w:rsidTr="00094007">
        <w:trPr>
          <w:trHeight w:val="466"/>
          <w:jc w:val="center"/>
        </w:trPr>
        <w:tc>
          <w:tcPr>
            <w:tcW w:w="96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1. Виробничий сектор (промисловість, сільське господарство)</w:t>
            </w:r>
          </w:p>
        </w:tc>
      </w:tr>
      <w:tr w:rsidR="007B428F" w:rsidRPr="00494F49" w:rsidTr="00094007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1.1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Створення індустріальних парків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7515CF" w:rsidRDefault="002E359C" w:rsidP="00DF67A9">
            <w:pPr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7B428F" w:rsidRPr="007515CF">
              <w:rPr>
                <w:lang w:val="uk-UA"/>
              </w:rPr>
              <w:t>більшення</w:t>
            </w:r>
          </w:p>
        </w:tc>
      </w:tr>
      <w:tr w:rsidR="007B428F" w:rsidRPr="00494F49" w:rsidTr="00094007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1.2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Промислові території, що не використовуються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0C16D7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13,26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7515CF" w:rsidRDefault="002E359C" w:rsidP="00DF67A9">
            <w:pPr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7B428F" w:rsidRPr="007515CF">
              <w:rPr>
                <w:lang w:val="uk-UA"/>
              </w:rPr>
              <w:t>ідновлення</w:t>
            </w:r>
          </w:p>
        </w:tc>
      </w:tr>
      <w:tr w:rsidR="007B428F" w:rsidRPr="00494F49" w:rsidTr="00094007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1.3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Сільські землі, що не обробляються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1E13DB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791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7515CF" w:rsidRDefault="002E359C" w:rsidP="00DF67A9">
            <w:pPr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7B428F" w:rsidRPr="007515CF">
              <w:rPr>
                <w:lang w:val="uk-UA"/>
              </w:rPr>
              <w:t>меншення</w:t>
            </w:r>
          </w:p>
        </w:tc>
      </w:tr>
      <w:tr w:rsidR="007B428F" w:rsidRPr="00494F49" w:rsidTr="00094007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4C4324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="004C432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Розвиток альтернативної енергетики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DC6E8D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246,5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7515CF" w:rsidRDefault="002E359C" w:rsidP="00DF67A9">
            <w:pPr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7B428F" w:rsidRPr="007515CF">
              <w:rPr>
                <w:lang w:val="uk-UA"/>
              </w:rPr>
              <w:t>більшення</w:t>
            </w:r>
          </w:p>
        </w:tc>
      </w:tr>
      <w:tr w:rsidR="007B428F" w:rsidRPr="00494F49" w:rsidTr="00094007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10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 xml:space="preserve">2. </w:t>
            </w:r>
            <w:r>
              <w:rPr>
                <w:sz w:val="28"/>
                <w:szCs w:val="28"/>
                <w:lang w:val="uk-UA"/>
              </w:rPr>
              <w:t>Т</w:t>
            </w:r>
            <w:r w:rsidRPr="00494F49">
              <w:rPr>
                <w:sz w:val="28"/>
                <w:szCs w:val="28"/>
                <w:lang w:val="uk-UA"/>
              </w:rPr>
              <w:t>уризм</w:t>
            </w:r>
          </w:p>
        </w:tc>
      </w:tr>
      <w:tr w:rsidR="007B428F" w:rsidRPr="00494F49" w:rsidTr="00094007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7B428F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sz w:val="28"/>
                <w:szCs w:val="28"/>
                <w:lang w:val="uk-UA"/>
              </w:rPr>
              <w:t>туристично привабливих об’єктів (туристичних магнітів)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1F4EFE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007" w:rsidRDefault="00094007" w:rsidP="00DF67A9">
            <w:pPr>
              <w:jc w:val="center"/>
              <w:rPr>
                <w:lang w:val="uk-UA"/>
              </w:rPr>
            </w:pPr>
          </w:p>
          <w:p w:rsidR="007B428F" w:rsidRPr="007515CF" w:rsidRDefault="002E359C" w:rsidP="00DF67A9">
            <w:pPr>
              <w:jc w:val="center"/>
            </w:pPr>
            <w:r>
              <w:rPr>
                <w:lang w:val="uk-UA"/>
              </w:rPr>
              <w:t>з</w:t>
            </w:r>
            <w:r w:rsidR="007B428F" w:rsidRPr="007515CF">
              <w:rPr>
                <w:lang w:val="uk-UA"/>
              </w:rPr>
              <w:t>більшення</w:t>
            </w:r>
          </w:p>
        </w:tc>
      </w:tr>
      <w:tr w:rsidR="007B428F" w:rsidRPr="00494F49" w:rsidTr="00094007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2.2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7B428F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Кількість туристів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осіб на добу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1F4EFE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7515CF" w:rsidRDefault="002E359C" w:rsidP="00DF67A9">
            <w:pPr>
              <w:jc w:val="center"/>
            </w:pPr>
            <w:r>
              <w:rPr>
                <w:lang w:val="uk-UA"/>
              </w:rPr>
              <w:t>з</w:t>
            </w:r>
            <w:r w:rsidR="007B428F" w:rsidRPr="007515CF">
              <w:rPr>
                <w:lang w:val="uk-UA"/>
              </w:rPr>
              <w:t>більшення</w:t>
            </w:r>
          </w:p>
        </w:tc>
      </w:tr>
      <w:tr w:rsidR="007B428F" w:rsidRPr="00494F49" w:rsidTr="00094007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2.3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7B428F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Створення туристичних маршрутів для пішого та велосипедного туризму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кількість</w:t>
            </w:r>
          </w:p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маршрутів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1F4EFE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007" w:rsidRDefault="00094007" w:rsidP="00DF67A9">
            <w:pPr>
              <w:jc w:val="center"/>
              <w:rPr>
                <w:lang w:val="uk-UA"/>
              </w:rPr>
            </w:pPr>
          </w:p>
          <w:p w:rsidR="007B428F" w:rsidRPr="007515CF" w:rsidRDefault="002E359C" w:rsidP="00DF67A9">
            <w:pPr>
              <w:jc w:val="center"/>
            </w:pPr>
            <w:r>
              <w:rPr>
                <w:lang w:val="uk-UA"/>
              </w:rPr>
              <w:t>з</w:t>
            </w:r>
            <w:r w:rsidR="007B428F" w:rsidRPr="007515CF">
              <w:rPr>
                <w:lang w:val="uk-UA"/>
              </w:rPr>
              <w:t>більшення</w:t>
            </w:r>
          </w:p>
        </w:tc>
      </w:tr>
      <w:tr w:rsidR="007B428F" w:rsidRPr="00494F49" w:rsidTr="00094007">
        <w:trPr>
          <w:jc w:val="center"/>
        </w:trPr>
        <w:tc>
          <w:tcPr>
            <w:tcW w:w="96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3. Громадські простори</w:t>
            </w:r>
          </w:p>
        </w:tc>
      </w:tr>
      <w:tr w:rsidR="007B428F" w:rsidRPr="00494F49" w:rsidTr="00094007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3.1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7B428F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Наявні якісні громадські простори для короткочасного відпочинку населення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1F4EFE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7515CF" w:rsidRDefault="002E359C" w:rsidP="00DF67A9">
            <w:pPr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7B428F" w:rsidRPr="007515CF">
              <w:rPr>
                <w:lang w:val="uk-UA"/>
              </w:rPr>
              <w:t>більшення</w:t>
            </w:r>
          </w:p>
        </w:tc>
      </w:tr>
      <w:tr w:rsidR="007B428F" w:rsidRPr="00494F49" w:rsidTr="00094007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7B428F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Коворкінг зони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1F4EFE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7515CF" w:rsidRDefault="002E359C" w:rsidP="00DF67A9">
            <w:pPr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7B428F" w:rsidRPr="007515CF">
              <w:rPr>
                <w:lang w:val="uk-UA"/>
              </w:rPr>
              <w:t>більшення</w:t>
            </w:r>
          </w:p>
        </w:tc>
      </w:tr>
      <w:tr w:rsidR="007B428F" w:rsidRPr="00494F49" w:rsidTr="00094007">
        <w:trPr>
          <w:jc w:val="center"/>
        </w:trPr>
        <w:tc>
          <w:tcPr>
            <w:tcW w:w="96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4. Мобільність та транспорт</w:t>
            </w:r>
          </w:p>
        </w:tc>
      </w:tr>
      <w:tr w:rsidR="007B428F" w:rsidRPr="00494F49" w:rsidTr="00094007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4.1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7B428F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Наявність транспортного сполучення громадським транспортом усіх</w:t>
            </w:r>
          </w:p>
          <w:p w:rsidR="007B428F" w:rsidRPr="00494F49" w:rsidRDefault="007B428F" w:rsidP="007B428F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населених пунктів з адміністративним центром громади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6235D5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7B428F" w:rsidRPr="00494F49">
              <w:rPr>
                <w:sz w:val="28"/>
                <w:szCs w:val="28"/>
                <w:lang w:val="uk-UA"/>
              </w:rPr>
              <w:t>ількість маршрутів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B2218A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7515CF" w:rsidRDefault="002E359C" w:rsidP="00DF67A9">
            <w:pPr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7B428F" w:rsidRPr="007515CF">
              <w:rPr>
                <w:lang w:val="uk-UA"/>
              </w:rPr>
              <w:t>більшення</w:t>
            </w:r>
          </w:p>
        </w:tc>
      </w:tr>
      <w:tr w:rsidR="007B428F" w:rsidRPr="00494F49" w:rsidTr="00094007">
        <w:trPr>
          <w:trHeight w:val="681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4.2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7B428F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Кількість аварійно небезпечних ділянок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одиниці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7515CF" w:rsidRDefault="002E359C" w:rsidP="00DF67A9">
            <w:pPr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="007B428F" w:rsidRPr="007515CF">
              <w:rPr>
                <w:lang w:val="uk-UA"/>
              </w:rPr>
              <w:t>іквідація</w:t>
            </w:r>
          </w:p>
        </w:tc>
      </w:tr>
      <w:tr w:rsidR="007B428F" w:rsidRPr="00494F49" w:rsidTr="00094007">
        <w:trPr>
          <w:trHeight w:val="693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lastRenderedPageBreak/>
              <w:t>4.3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7B428F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Протяжність велосипедних доріжок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км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8E6158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7515CF" w:rsidRDefault="002E359C" w:rsidP="00DF67A9">
            <w:pPr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8E6158" w:rsidRPr="007515CF">
              <w:rPr>
                <w:lang w:val="uk-UA"/>
              </w:rPr>
              <w:t>більшення</w:t>
            </w:r>
          </w:p>
        </w:tc>
      </w:tr>
      <w:tr w:rsidR="007B428F" w:rsidRPr="00494F49" w:rsidTr="00094007">
        <w:trPr>
          <w:trHeight w:val="340"/>
          <w:jc w:val="center"/>
        </w:trPr>
        <w:tc>
          <w:tcPr>
            <w:tcW w:w="96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5. Екологія</w:t>
            </w:r>
          </w:p>
        </w:tc>
      </w:tr>
      <w:tr w:rsidR="007B428F" w:rsidRPr="00494F49" w:rsidTr="00094007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5.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Площа встановлених проектами землеустрою прибережних захисних смуг водних об’єктів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515C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710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7515CF" w:rsidRDefault="002E359C" w:rsidP="00DF67A9">
            <w:pPr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7515CF" w:rsidRPr="007515CF">
              <w:rPr>
                <w:lang w:val="uk-UA"/>
              </w:rPr>
              <w:t>абезпечення встановлення меж прибережних захисних смуг для всіх водних об’єктів</w:t>
            </w:r>
          </w:p>
        </w:tc>
      </w:tr>
      <w:tr w:rsidR="007B428F" w:rsidRPr="00494F49" w:rsidTr="00094007">
        <w:trPr>
          <w:trHeight w:val="70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5.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Площа зелених зон загального користування (парки/сквери/ліси)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007" w:rsidRDefault="00094007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</w:p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007" w:rsidRDefault="00094007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</w:p>
          <w:p w:rsidR="007B428F" w:rsidRPr="00494F49" w:rsidRDefault="0091498E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20,42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007" w:rsidRDefault="00094007" w:rsidP="00DF67A9">
            <w:pPr>
              <w:ind w:right="-83"/>
              <w:jc w:val="center"/>
              <w:rPr>
                <w:lang w:val="uk-UA"/>
              </w:rPr>
            </w:pPr>
          </w:p>
          <w:p w:rsidR="007B428F" w:rsidRPr="007515CF" w:rsidRDefault="002E359C" w:rsidP="00DF67A9">
            <w:pPr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7515CF" w:rsidRPr="007515CF">
              <w:rPr>
                <w:lang w:val="uk-UA"/>
              </w:rPr>
              <w:t>більшення</w:t>
            </w:r>
          </w:p>
        </w:tc>
      </w:tr>
      <w:tr w:rsidR="007B428F" w:rsidRPr="00494F49" w:rsidTr="00094007">
        <w:trPr>
          <w:trHeight w:val="353"/>
          <w:jc w:val="center"/>
        </w:trPr>
        <w:tc>
          <w:tcPr>
            <w:tcW w:w="96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6. Інженерна інфраструктура</w:t>
            </w:r>
          </w:p>
        </w:tc>
      </w:tr>
      <w:tr w:rsidR="007B428F" w:rsidRPr="00494F49" w:rsidTr="00094007">
        <w:trPr>
          <w:trHeight w:val="1261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6.1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7B428F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Кількість аварій на мережах:</w:t>
            </w:r>
          </w:p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- водопостачання</w:t>
            </w:r>
            <w:r w:rsidR="000671BB">
              <w:rPr>
                <w:sz w:val="28"/>
                <w:szCs w:val="28"/>
                <w:lang w:val="uk-UA"/>
              </w:rPr>
              <w:t>;</w:t>
            </w:r>
          </w:p>
          <w:p w:rsidR="007B428F" w:rsidRPr="00494F49" w:rsidRDefault="007B428F" w:rsidP="007B428F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- водовідведення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аварій/км</w:t>
            </w:r>
          </w:p>
          <w:p w:rsidR="007B428F" w:rsidRPr="00494F49" w:rsidRDefault="007B428F" w:rsidP="008E6158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6158" w:rsidRDefault="008E6158" w:rsidP="008E6158">
            <w:pPr>
              <w:ind w:right="-83"/>
              <w:rPr>
                <w:sz w:val="28"/>
                <w:szCs w:val="28"/>
                <w:lang w:val="uk-UA"/>
              </w:rPr>
            </w:pPr>
          </w:p>
          <w:p w:rsidR="008E6158" w:rsidRDefault="008E6158" w:rsidP="008E6158">
            <w:pPr>
              <w:ind w:right="-83"/>
              <w:rPr>
                <w:sz w:val="28"/>
                <w:szCs w:val="28"/>
                <w:lang w:val="uk-UA"/>
              </w:rPr>
            </w:pPr>
          </w:p>
          <w:p w:rsidR="008E6158" w:rsidRDefault="008E6158" w:rsidP="008E6158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  <w:p w:rsidR="007B428F" w:rsidRPr="00494F49" w:rsidRDefault="008E6158" w:rsidP="008E6158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D754C" w:rsidRDefault="007D754C" w:rsidP="00DF67A9">
            <w:pPr>
              <w:ind w:right="-83"/>
              <w:jc w:val="center"/>
              <w:rPr>
                <w:lang w:val="uk-UA"/>
              </w:rPr>
            </w:pPr>
          </w:p>
          <w:p w:rsidR="007B428F" w:rsidRPr="007515CF" w:rsidRDefault="002E359C" w:rsidP="00DF67A9">
            <w:pPr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7B428F" w:rsidRPr="007515CF">
              <w:rPr>
                <w:lang w:val="uk-UA"/>
              </w:rPr>
              <w:t>меншення</w:t>
            </w:r>
          </w:p>
        </w:tc>
      </w:tr>
      <w:tr w:rsidR="007B428F" w:rsidRPr="00494F49" w:rsidTr="00094007">
        <w:trPr>
          <w:trHeight w:val="893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6.2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Default="007B428F" w:rsidP="007B428F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Забезпеченість населених пунктів централізованим</w:t>
            </w:r>
            <w:r>
              <w:rPr>
                <w:sz w:val="28"/>
                <w:szCs w:val="28"/>
                <w:lang w:val="uk-UA"/>
              </w:rPr>
              <w:t>:</w:t>
            </w:r>
            <w:r w:rsidRPr="00494F49">
              <w:rPr>
                <w:sz w:val="28"/>
                <w:szCs w:val="28"/>
                <w:lang w:val="uk-UA"/>
              </w:rPr>
              <w:t xml:space="preserve"> </w:t>
            </w:r>
          </w:p>
          <w:p w:rsidR="007B428F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-водопостачанням</w:t>
            </w:r>
            <w:r w:rsidR="000671BB">
              <w:rPr>
                <w:sz w:val="28"/>
                <w:szCs w:val="28"/>
                <w:lang w:val="uk-UA"/>
              </w:rPr>
              <w:t>;</w:t>
            </w:r>
          </w:p>
          <w:p w:rsidR="007B428F" w:rsidRPr="00494F49" w:rsidRDefault="007B428F" w:rsidP="000671BB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0671BB">
              <w:rPr>
                <w:sz w:val="28"/>
                <w:szCs w:val="28"/>
                <w:lang w:val="uk-UA"/>
              </w:rPr>
              <w:t>водовідведенням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1BB" w:rsidRDefault="000671BB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</w:p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</w:p>
          <w:p w:rsidR="008E6158" w:rsidRDefault="008E6158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</w:p>
          <w:p w:rsidR="008E6158" w:rsidRDefault="008E6158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13,3</w:t>
            </w:r>
          </w:p>
          <w:p w:rsidR="008E6158" w:rsidRPr="00494F49" w:rsidRDefault="008E6158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6,5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54C" w:rsidRDefault="007D754C" w:rsidP="00DF67A9">
            <w:pPr>
              <w:ind w:right="-83"/>
              <w:jc w:val="center"/>
              <w:rPr>
                <w:lang w:val="uk-UA"/>
              </w:rPr>
            </w:pPr>
          </w:p>
          <w:p w:rsidR="007B428F" w:rsidRPr="007515CF" w:rsidRDefault="002E359C" w:rsidP="00DF67A9">
            <w:pPr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7B428F" w:rsidRPr="007515CF">
              <w:rPr>
                <w:lang w:val="uk-UA"/>
              </w:rPr>
              <w:t>більшення</w:t>
            </w:r>
          </w:p>
        </w:tc>
      </w:tr>
      <w:tr w:rsidR="007B428F" w:rsidRPr="00494F49" w:rsidTr="00094007">
        <w:trPr>
          <w:trHeight w:val="405"/>
          <w:jc w:val="center"/>
        </w:trPr>
        <w:tc>
          <w:tcPr>
            <w:tcW w:w="96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7. Соціальна інфраструктура</w:t>
            </w:r>
          </w:p>
        </w:tc>
      </w:tr>
      <w:tr w:rsidR="007B428F" w:rsidRPr="00494F49" w:rsidTr="00094007">
        <w:trPr>
          <w:trHeight w:val="552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7B428F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7.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Середня наповнюваність класів у комунальних школах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007" w:rsidRDefault="00094007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</w:p>
          <w:p w:rsidR="007B428F" w:rsidRPr="00494F49" w:rsidRDefault="006235D5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7B428F" w:rsidRPr="00494F49">
              <w:rPr>
                <w:sz w:val="28"/>
                <w:szCs w:val="28"/>
                <w:lang w:val="uk-UA"/>
              </w:rPr>
              <w:t>чні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007" w:rsidRDefault="00094007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</w:p>
          <w:p w:rsidR="007B428F" w:rsidRPr="00494F49" w:rsidRDefault="008E6158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24,4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007" w:rsidRDefault="00094007" w:rsidP="00DF67A9">
            <w:pPr>
              <w:ind w:right="-83"/>
              <w:jc w:val="center"/>
              <w:rPr>
                <w:lang w:val="uk-UA"/>
              </w:rPr>
            </w:pPr>
          </w:p>
          <w:p w:rsidR="007B428F" w:rsidRPr="007515CF" w:rsidRDefault="002E359C" w:rsidP="00DF67A9">
            <w:pPr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8E6158" w:rsidRPr="007515CF">
              <w:rPr>
                <w:lang w:val="uk-UA"/>
              </w:rPr>
              <w:t xml:space="preserve"> межах норм</w:t>
            </w:r>
            <w:r>
              <w:rPr>
                <w:lang w:val="uk-UA"/>
              </w:rPr>
              <w:t>и</w:t>
            </w:r>
          </w:p>
        </w:tc>
      </w:tr>
      <w:tr w:rsidR="007B428F" w:rsidRPr="00494F49" w:rsidTr="00094007">
        <w:trPr>
          <w:trHeight w:val="1131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7B428F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7.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Частка дітей, охоплених гуртками позашкільної освіти, що функціонують при освітніх закладах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007" w:rsidRDefault="00094007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</w:p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007" w:rsidRDefault="00094007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</w:p>
          <w:p w:rsidR="007B428F" w:rsidRPr="00494F49" w:rsidRDefault="008E6158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007" w:rsidRDefault="00094007" w:rsidP="00DF67A9">
            <w:pPr>
              <w:jc w:val="center"/>
              <w:rPr>
                <w:lang w:val="uk-UA"/>
              </w:rPr>
            </w:pPr>
          </w:p>
          <w:p w:rsidR="007B428F" w:rsidRPr="007515CF" w:rsidRDefault="002E359C" w:rsidP="00DF67A9">
            <w:pPr>
              <w:jc w:val="center"/>
            </w:pPr>
            <w:r>
              <w:rPr>
                <w:lang w:val="uk-UA"/>
              </w:rPr>
              <w:t>з</w:t>
            </w:r>
            <w:r w:rsidR="007B428F" w:rsidRPr="007515CF">
              <w:rPr>
                <w:lang w:val="uk-UA"/>
              </w:rPr>
              <w:t>більшення</w:t>
            </w:r>
          </w:p>
        </w:tc>
      </w:tr>
      <w:tr w:rsidR="004C4324" w:rsidRPr="00494F49" w:rsidTr="004C4324">
        <w:trPr>
          <w:trHeight w:val="524"/>
          <w:jc w:val="center"/>
        </w:trPr>
        <w:tc>
          <w:tcPr>
            <w:tcW w:w="96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324" w:rsidRPr="004C4324" w:rsidRDefault="004C4324" w:rsidP="004C4324">
            <w:pPr>
              <w:jc w:val="center"/>
              <w:rPr>
                <w:sz w:val="28"/>
                <w:szCs w:val="28"/>
                <w:lang w:val="uk-UA"/>
              </w:rPr>
            </w:pPr>
            <w:r w:rsidRPr="004C4324">
              <w:rPr>
                <w:sz w:val="28"/>
                <w:szCs w:val="28"/>
                <w:lang w:val="uk-UA"/>
              </w:rPr>
              <w:t xml:space="preserve">8. </w:t>
            </w:r>
            <w:r>
              <w:rPr>
                <w:sz w:val="28"/>
                <w:szCs w:val="28"/>
                <w:lang w:val="uk-UA"/>
              </w:rPr>
              <w:t>М</w:t>
            </w:r>
            <w:r w:rsidRPr="004C4324">
              <w:rPr>
                <w:sz w:val="28"/>
                <w:szCs w:val="28"/>
                <w:lang w:val="uk-UA"/>
              </w:rPr>
              <w:t>іжнародн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4C4324">
              <w:rPr>
                <w:sz w:val="28"/>
                <w:szCs w:val="28"/>
                <w:lang w:val="uk-UA"/>
              </w:rPr>
              <w:t xml:space="preserve"> технічн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4C4324">
              <w:rPr>
                <w:sz w:val="28"/>
                <w:szCs w:val="28"/>
                <w:lang w:val="uk-UA"/>
              </w:rPr>
              <w:t xml:space="preserve"> допомог</w:t>
            </w:r>
            <w:r>
              <w:rPr>
                <w:sz w:val="28"/>
                <w:szCs w:val="28"/>
                <w:lang w:val="uk-UA"/>
              </w:rPr>
              <w:t>а</w:t>
            </w:r>
            <w:r w:rsidRPr="004C432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C4324" w:rsidRPr="00494F49" w:rsidTr="00A87227">
        <w:trPr>
          <w:trHeight w:val="1131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4324" w:rsidRPr="00494F49" w:rsidRDefault="004C4324" w:rsidP="004C4324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4324" w:rsidRDefault="004C4324" w:rsidP="004C4324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Залучення міжнародної технічної допомоги на розвиток громади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4324" w:rsidRDefault="004C4324" w:rsidP="004C4324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тис.грн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4324" w:rsidRPr="00494F49" w:rsidRDefault="004C4324" w:rsidP="004C4324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19122,700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4324" w:rsidRPr="007515CF" w:rsidRDefault="002E359C" w:rsidP="004C4324">
            <w:pPr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4C4324" w:rsidRPr="007515CF">
              <w:rPr>
                <w:lang w:val="uk-UA"/>
              </w:rPr>
              <w:t>більшення</w:t>
            </w:r>
          </w:p>
        </w:tc>
      </w:tr>
    </w:tbl>
    <w:p w:rsidR="007B428F" w:rsidRDefault="007B428F" w:rsidP="007B428F">
      <w:pPr>
        <w:ind w:right="-83"/>
        <w:jc w:val="both"/>
        <w:rPr>
          <w:sz w:val="28"/>
          <w:szCs w:val="28"/>
          <w:lang w:val="uk-UA"/>
        </w:rPr>
      </w:pPr>
    </w:p>
    <w:p w:rsidR="007B428F" w:rsidRDefault="007B428F" w:rsidP="007B428F">
      <w:pPr>
        <w:ind w:right="-83"/>
        <w:jc w:val="both"/>
        <w:rPr>
          <w:sz w:val="28"/>
          <w:szCs w:val="28"/>
          <w:lang w:val="uk-UA"/>
        </w:rPr>
      </w:pPr>
    </w:p>
    <w:p w:rsidR="007B428F" w:rsidRDefault="007B428F" w:rsidP="007B428F">
      <w:pPr>
        <w:ind w:right="-83"/>
        <w:jc w:val="both"/>
        <w:rPr>
          <w:sz w:val="28"/>
          <w:szCs w:val="28"/>
          <w:lang w:val="uk-UA"/>
        </w:rPr>
      </w:pPr>
    </w:p>
    <w:p w:rsidR="007B428F" w:rsidRDefault="007B428F" w:rsidP="007B428F">
      <w:pPr>
        <w:ind w:right="-83"/>
        <w:jc w:val="both"/>
        <w:rPr>
          <w:sz w:val="28"/>
          <w:szCs w:val="28"/>
          <w:lang w:val="uk-UA"/>
        </w:rPr>
      </w:pPr>
      <w:r w:rsidRPr="00517F92">
        <w:rPr>
          <w:sz w:val="28"/>
          <w:szCs w:val="28"/>
          <w:lang w:val="uk-UA"/>
        </w:rPr>
        <w:t>Секретар міської ради                                                              Оксана ГВОЗДЕНКО</w:t>
      </w:r>
    </w:p>
    <w:p w:rsidR="007B428F" w:rsidRDefault="007B428F" w:rsidP="007B428F">
      <w:pPr>
        <w:ind w:right="-83"/>
        <w:jc w:val="both"/>
        <w:rPr>
          <w:sz w:val="28"/>
          <w:szCs w:val="28"/>
          <w:lang w:val="uk-UA"/>
        </w:rPr>
      </w:pPr>
    </w:p>
    <w:p w:rsidR="007B428F" w:rsidRDefault="007B428F" w:rsidP="007B428F">
      <w:pPr>
        <w:ind w:right="-83"/>
        <w:jc w:val="both"/>
        <w:rPr>
          <w:sz w:val="28"/>
          <w:szCs w:val="28"/>
          <w:lang w:val="uk-UA"/>
        </w:rPr>
      </w:pPr>
    </w:p>
    <w:p w:rsidR="007B428F" w:rsidRDefault="007B428F" w:rsidP="007B428F">
      <w:pPr>
        <w:ind w:right="-83"/>
        <w:jc w:val="both"/>
        <w:rPr>
          <w:sz w:val="28"/>
          <w:szCs w:val="28"/>
          <w:lang w:val="uk-UA"/>
        </w:rPr>
      </w:pPr>
    </w:p>
    <w:p w:rsidR="007C63FB" w:rsidRDefault="007C63FB" w:rsidP="00E17490">
      <w:pPr>
        <w:ind w:right="-83"/>
        <w:jc w:val="both"/>
        <w:rPr>
          <w:sz w:val="28"/>
          <w:szCs w:val="28"/>
          <w:lang w:val="uk-UA"/>
        </w:rPr>
      </w:pPr>
    </w:p>
    <w:p w:rsidR="00C063E6" w:rsidRDefault="00C063E6" w:rsidP="00E17490">
      <w:pPr>
        <w:ind w:right="-83"/>
        <w:jc w:val="both"/>
        <w:rPr>
          <w:sz w:val="28"/>
          <w:szCs w:val="28"/>
          <w:lang w:val="uk-UA"/>
        </w:rPr>
      </w:pPr>
    </w:p>
    <w:p w:rsidR="007C63FB" w:rsidRDefault="007C63FB" w:rsidP="00E17490">
      <w:pPr>
        <w:ind w:right="-83"/>
        <w:jc w:val="both"/>
        <w:rPr>
          <w:sz w:val="28"/>
          <w:szCs w:val="28"/>
          <w:lang w:val="uk-UA"/>
        </w:rPr>
      </w:pPr>
    </w:p>
    <w:p w:rsidR="00517F92" w:rsidRPr="00517F92" w:rsidRDefault="00517F92" w:rsidP="00517F92">
      <w:pPr>
        <w:ind w:right="-83"/>
        <w:jc w:val="both"/>
        <w:rPr>
          <w:sz w:val="28"/>
          <w:szCs w:val="28"/>
          <w:lang w:val="uk-UA"/>
        </w:rPr>
      </w:pPr>
      <w:r w:rsidRPr="00517F92"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Додаток </w:t>
      </w:r>
      <w:r>
        <w:rPr>
          <w:sz w:val="28"/>
          <w:szCs w:val="28"/>
          <w:lang w:val="uk-UA"/>
        </w:rPr>
        <w:t>2</w:t>
      </w:r>
    </w:p>
    <w:p w:rsidR="00517F92" w:rsidRPr="00517F92" w:rsidRDefault="00517F92" w:rsidP="00517F92">
      <w:pPr>
        <w:ind w:right="-83"/>
        <w:jc w:val="both"/>
        <w:rPr>
          <w:sz w:val="28"/>
          <w:szCs w:val="28"/>
          <w:lang w:val="uk-UA"/>
        </w:rPr>
      </w:pPr>
      <w:r w:rsidRPr="00517F92">
        <w:rPr>
          <w:sz w:val="28"/>
          <w:szCs w:val="28"/>
          <w:lang w:val="uk-UA"/>
        </w:rPr>
        <w:t xml:space="preserve">                                                                                           до рішення міської ради</w:t>
      </w:r>
    </w:p>
    <w:p w:rsidR="00297DCF" w:rsidRPr="00297DCF" w:rsidRDefault="00517F92" w:rsidP="00517F92">
      <w:pPr>
        <w:ind w:right="-83"/>
        <w:jc w:val="both"/>
        <w:rPr>
          <w:sz w:val="28"/>
          <w:szCs w:val="28"/>
          <w:lang w:val="uk-UA"/>
        </w:rPr>
      </w:pPr>
      <w:r w:rsidRPr="00517F92">
        <w:rPr>
          <w:sz w:val="28"/>
          <w:szCs w:val="28"/>
          <w:lang w:val="uk-UA"/>
        </w:rPr>
        <w:t xml:space="preserve">                                                                                           від                       №</w:t>
      </w:r>
    </w:p>
    <w:p w:rsidR="00517F92" w:rsidRDefault="00517F92" w:rsidP="00297DCF">
      <w:pPr>
        <w:ind w:right="-83"/>
        <w:jc w:val="both"/>
        <w:rPr>
          <w:sz w:val="28"/>
          <w:szCs w:val="28"/>
          <w:lang w:val="uk-UA"/>
        </w:rPr>
      </w:pPr>
    </w:p>
    <w:p w:rsidR="00C063E6" w:rsidRDefault="00297DCF" w:rsidP="00C063E6">
      <w:pPr>
        <w:ind w:right="-83"/>
        <w:jc w:val="center"/>
        <w:rPr>
          <w:sz w:val="28"/>
          <w:szCs w:val="28"/>
          <w:lang w:val="uk-UA"/>
        </w:rPr>
      </w:pPr>
      <w:r w:rsidRPr="00297DCF">
        <w:rPr>
          <w:sz w:val="28"/>
          <w:szCs w:val="28"/>
          <w:lang w:val="uk-UA"/>
        </w:rPr>
        <w:t xml:space="preserve">Прогнозовані наслідки розроблення </w:t>
      </w:r>
    </w:p>
    <w:p w:rsidR="00C063E6" w:rsidRDefault="00C063E6" w:rsidP="00C063E6">
      <w:pPr>
        <w:ind w:right="-83"/>
        <w:jc w:val="center"/>
        <w:rPr>
          <w:sz w:val="28"/>
          <w:szCs w:val="28"/>
          <w:lang w:val="uk-UA"/>
        </w:rPr>
      </w:pPr>
      <w:r w:rsidRPr="00C063E6">
        <w:rPr>
          <w:sz w:val="28"/>
          <w:szCs w:val="28"/>
          <w:lang w:val="uk-UA"/>
        </w:rPr>
        <w:t xml:space="preserve">Комплексного плану просторового розвитку території </w:t>
      </w:r>
    </w:p>
    <w:p w:rsidR="00297DCF" w:rsidRDefault="00C063E6" w:rsidP="00C063E6">
      <w:pPr>
        <w:ind w:right="-83"/>
        <w:jc w:val="center"/>
        <w:rPr>
          <w:sz w:val="28"/>
          <w:szCs w:val="28"/>
          <w:lang w:val="uk-UA"/>
        </w:rPr>
      </w:pPr>
      <w:r w:rsidRPr="00C063E6">
        <w:rPr>
          <w:sz w:val="28"/>
          <w:szCs w:val="28"/>
          <w:lang w:val="uk-UA"/>
        </w:rPr>
        <w:t>Звягельської міської територіальної громади</w:t>
      </w:r>
    </w:p>
    <w:p w:rsidR="00C063E6" w:rsidRPr="00297DCF" w:rsidRDefault="00C063E6" w:rsidP="00297DCF">
      <w:pPr>
        <w:ind w:right="-83"/>
        <w:jc w:val="both"/>
        <w:rPr>
          <w:sz w:val="28"/>
          <w:szCs w:val="28"/>
          <w:lang w:val="uk-UA"/>
        </w:rPr>
      </w:pP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97DCF" w:rsidRPr="00297DC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297DCF" w:rsidRPr="00297DCF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рогнозовані п</w:t>
      </w:r>
      <w:r w:rsidR="00297DCF" w:rsidRPr="00297DCF">
        <w:rPr>
          <w:sz w:val="28"/>
          <w:szCs w:val="28"/>
          <w:lang w:val="uk-UA"/>
        </w:rPr>
        <w:t>равові наслідки.</w:t>
      </w: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97DCF" w:rsidRPr="00297DCF">
        <w:rPr>
          <w:sz w:val="28"/>
          <w:szCs w:val="28"/>
          <w:lang w:val="uk-UA"/>
        </w:rPr>
        <w:t>Взаємоузгодження державних, громадських та приватних інтересів під час планування та забудови територій.</w:t>
      </w: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97DCF" w:rsidRPr="00297DCF">
        <w:rPr>
          <w:sz w:val="28"/>
          <w:szCs w:val="28"/>
          <w:lang w:val="uk-UA"/>
        </w:rPr>
        <w:t>Узгодження містобудівних та землевпорядних завдань розвитку території громади.</w:t>
      </w: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97DCF" w:rsidRPr="00297DCF">
        <w:rPr>
          <w:sz w:val="28"/>
          <w:szCs w:val="28"/>
          <w:lang w:val="uk-UA"/>
        </w:rPr>
        <w:t>Резервування земельних ділянок приватної власності, що підлягають вилученню для суспільних потреб відповідно до закону для розміщення об’єктів соціальної сфери та інших об’єктів державних, регіональних інтересів та інтересів територіальної громади.</w:t>
      </w: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97DCF" w:rsidRPr="00297DCF">
        <w:rPr>
          <w:sz w:val="28"/>
          <w:szCs w:val="28"/>
          <w:lang w:val="uk-UA"/>
        </w:rPr>
        <w:t>В</w:t>
      </w:r>
      <w:r w:rsidR="00046A11">
        <w:rPr>
          <w:sz w:val="28"/>
          <w:szCs w:val="28"/>
          <w:lang w:val="uk-UA"/>
        </w:rPr>
        <w:t>становлення видів цільового призначення земельних ділянок, функціонального призначення територій та співвідношення між ними нада</w:t>
      </w:r>
      <w:r w:rsidR="00FC1CD4">
        <w:rPr>
          <w:sz w:val="28"/>
          <w:szCs w:val="28"/>
          <w:lang w:val="uk-UA"/>
        </w:rPr>
        <w:t>сть</w:t>
      </w:r>
      <w:r w:rsidR="00046A11">
        <w:rPr>
          <w:sz w:val="28"/>
          <w:szCs w:val="28"/>
          <w:lang w:val="uk-UA"/>
        </w:rPr>
        <w:t xml:space="preserve"> змогу власникам земельних ділянок змінити цільове призначення без прийняття рішень органами місцевого самоврядування та розроблення проекту землеустрою.</w:t>
      </w: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97DCF" w:rsidRPr="00297DCF">
        <w:rPr>
          <w:sz w:val="28"/>
          <w:szCs w:val="28"/>
          <w:lang w:val="uk-UA"/>
        </w:rPr>
        <w:t xml:space="preserve">Визначення переліку земель (територій) для безоплатної передачі у приватну власність </w:t>
      </w:r>
      <w:r w:rsidR="00FC1CD4">
        <w:rPr>
          <w:sz w:val="28"/>
          <w:szCs w:val="28"/>
          <w:lang w:val="uk-UA"/>
        </w:rPr>
        <w:t>забезпечить раціональне використання території та відсутність конфліктів інтересів.</w:t>
      </w:r>
    </w:p>
    <w:p w:rsidR="005C0B45" w:rsidRDefault="005C0B45" w:rsidP="00297DCF">
      <w:pPr>
        <w:ind w:right="-83"/>
        <w:jc w:val="both"/>
        <w:rPr>
          <w:sz w:val="28"/>
          <w:szCs w:val="28"/>
          <w:lang w:val="uk-UA"/>
        </w:rPr>
      </w:pP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Прогнозовані е</w:t>
      </w:r>
      <w:r w:rsidR="00297DCF" w:rsidRPr="00297DCF">
        <w:rPr>
          <w:sz w:val="28"/>
          <w:szCs w:val="28"/>
          <w:lang w:val="uk-UA"/>
        </w:rPr>
        <w:t>кономічні наслідки.</w:t>
      </w:r>
    </w:p>
    <w:p w:rsidR="00297DCF" w:rsidRPr="00297DCF" w:rsidRDefault="00046A11" w:rsidP="00297DCF">
      <w:pPr>
        <w:ind w:right="-83"/>
        <w:jc w:val="both"/>
        <w:rPr>
          <w:sz w:val="28"/>
          <w:szCs w:val="28"/>
          <w:lang w:val="uk-UA"/>
        </w:rPr>
      </w:pPr>
      <w:r w:rsidRPr="002E359C">
        <w:rPr>
          <w:sz w:val="28"/>
          <w:szCs w:val="28"/>
          <w:lang w:val="uk-UA"/>
        </w:rPr>
        <w:t xml:space="preserve">   </w:t>
      </w:r>
      <w:r w:rsidR="005C0B45">
        <w:rPr>
          <w:sz w:val="28"/>
          <w:szCs w:val="28"/>
          <w:lang w:val="uk-UA"/>
        </w:rPr>
        <w:t xml:space="preserve"> </w:t>
      </w:r>
      <w:r w:rsidR="00297DCF" w:rsidRPr="00297DCF">
        <w:rPr>
          <w:sz w:val="28"/>
          <w:szCs w:val="28"/>
          <w:lang w:val="uk-UA"/>
        </w:rPr>
        <w:t>Підвищення інвестиційної привабливості території громади.</w:t>
      </w:r>
    </w:p>
    <w:p w:rsidR="00297DCF" w:rsidRPr="00297DCF" w:rsidRDefault="00046A11" w:rsidP="00297DCF">
      <w:pPr>
        <w:ind w:right="-83"/>
        <w:jc w:val="both"/>
        <w:rPr>
          <w:sz w:val="28"/>
          <w:szCs w:val="28"/>
          <w:lang w:val="uk-UA"/>
        </w:rPr>
      </w:pPr>
      <w:r w:rsidRPr="002E359C">
        <w:rPr>
          <w:sz w:val="28"/>
          <w:szCs w:val="28"/>
          <w:lang w:val="uk-UA"/>
        </w:rPr>
        <w:t xml:space="preserve">   </w:t>
      </w:r>
      <w:r w:rsidR="005C0B45">
        <w:rPr>
          <w:sz w:val="28"/>
          <w:szCs w:val="28"/>
          <w:lang w:val="uk-UA"/>
        </w:rPr>
        <w:t xml:space="preserve"> </w:t>
      </w:r>
      <w:r w:rsidR="00297DCF" w:rsidRPr="00297DCF">
        <w:rPr>
          <w:sz w:val="28"/>
          <w:szCs w:val="28"/>
          <w:lang w:val="uk-UA"/>
        </w:rPr>
        <w:t>Збільшення надходжень в місцевий бюджет за рахунок:</w:t>
      </w: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97DCF" w:rsidRPr="00297DCF">
        <w:rPr>
          <w:sz w:val="28"/>
          <w:szCs w:val="28"/>
          <w:lang w:val="uk-UA"/>
        </w:rPr>
        <w:t>виявлення незареєстрованих земельних ділянок;</w:t>
      </w: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97DCF" w:rsidRPr="00297DCF">
        <w:rPr>
          <w:sz w:val="28"/>
          <w:szCs w:val="28"/>
          <w:lang w:val="uk-UA"/>
        </w:rPr>
        <w:t>виявлення земельних ділянок, які використовуються не за цільовим призначенням;</w:t>
      </w: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97DCF" w:rsidRPr="00297DCF">
        <w:rPr>
          <w:sz w:val="28"/>
          <w:szCs w:val="28"/>
          <w:lang w:val="uk-UA"/>
        </w:rPr>
        <w:t>визначення переліку земель (територій) для продажу земельних ділянок державної та комунальної власності або прав на них на земельних торгах;</w:t>
      </w:r>
    </w:p>
    <w:p w:rsidR="00297DCF" w:rsidRPr="00046A11" w:rsidRDefault="005C0B45" w:rsidP="00297DCF">
      <w:pPr>
        <w:ind w:right="-8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="00297DCF" w:rsidRPr="00297DCF">
        <w:rPr>
          <w:sz w:val="28"/>
          <w:szCs w:val="28"/>
          <w:lang w:val="uk-UA"/>
        </w:rPr>
        <w:t>визначення переліку земель (територій) для продажу або передачі у користування земель них ділянок державної, комунальної власності без проведення земельних торгів</w:t>
      </w:r>
      <w:r w:rsidR="00046A11" w:rsidRPr="00046A11">
        <w:rPr>
          <w:sz w:val="28"/>
          <w:szCs w:val="28"/>
        </w:rPr>
        <w:t>/</w:t>
      </w:r>
    </w:p>
    <w:p w:rsidR="00297DCF" w:rsidRPr="00297DCF" w:rsidRDefault="00C36777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</w:t>
      </w:r>
      <w:r w:rsidR="00046A11" w:rsidRPr="00046A11">
        <w:rPr>
          <w:sz w:val="28"/>
          <w:szCs w:val="28"/>
        </w:rPr>
        <w:t xml:space="preserve"> </w:t>
      </w:r>
      <w:r w:rsidR="005C0B45">
        <w:rPr>
          <w:sz w:val="28"/>
          <w:szCs w:val="28"/>
          <w:lang w:val="uk-UA"/>
        </w:rPr>
        <w:t xml:space="preserve"> </w:t>
      </w:r>
      <w:r w:rsidR="00297DCF" w:rsidRPr="00297DCF">
        <w:rPr>
          <w:sz w:val="28"/>
          <w:szCs w:val="28"/>
          <w:lang w:val="uk-UA"/>
        </w:rPr>
        <w:t>Створення умов для розвитку підприємницької діяльності.</w:t>
      </w:r>
    </w:p>
    <w:p w:rsidR="005C0B45" w:rsidRDefault="005C0B45" w:rsidP="00297DCF">
      <w:pPr>
        <w:ind w:right="-83"/>
        <w:jc w:val="both"/>
        <w:rPr>
          <w:sz w:val="28"/>
          <w:szCs w:val="28"/>
          <w:lang w:val="uk-UA"/>
        </w:rPr>
      </w:pP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Прогнозовані с</w:t>
      </w:r>
      <w:r w:rsidR="00297DCF" w:rsidRPr="00297DCF">
        <w:rPr>
          <w:sz w:val="28"/>
          <w:szCs w:val="28"/>
          <w:lang w:val="uk-UA"/>
        </w:rPr>
        <w:t>оціальні наслідки</w:t>
      </w: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97DCF" w:rsidRPr="00297DCF">
        <w:rPr>
          <w:sz w:val="28"/>
          <w:szCs w:val="28"/>
          <w:lang w:val="uk-UA"/>
        </w:rPr>
        <w:t>Створення сприятливих умов життєдіяльності населення.</w:t>
      </w: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97DCF" w:rsidRPr="00297DCF">
        <w:rPr>
          <w:sz w:val="28"/>
          <w:szCs w:val="28"/>
          <w:lang w:val="uk-UA"/>
        </w:rPr>
        <w:t>Сприяння створенню додаткових робочих місць.</w:t>
      </w: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 Прогнозовані н</w:t>
      </w:r>
      <w:r w:rsidR="00297DCF" w:rsidRPr="00297DCF">
        <w:rPr>
          <w:sz w:val="28"/>
          <w:szCs w:val="28"/>
          <w:lang w:val="uk-UA"/>
        </w:rPr>
        <w:t>аслідки для довкілля та здоров’я населення.</w:t>
      </w: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97DCF" w:rsidRPr="00297DCF">
        <w:rPr>
          <w:sz w:val="28"/>
          <w:szCs w:val="28"/>
          <w:lang w:val="uk-UA"/>
        </w:rPr>
        <w:t>Формування системи озеленених територій з урахуванням ландшафтних умов території та потреб забезпечення населення.</w:t>
      </w:r>
    </w:p>
    <w:p w:rsidR="00297DCF" w:rsidRPr="00297DCF" w:rsidRDefault="00345F2D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</w:t>
      </w:r>
      <w:r w:rsidR="00297DCF" w:rsidRPr="00297DCF">
        <w:rPr>
          <w:sz w:val="28"/>
          <w:szCs w:val="28"/>
          <w:lang w:val="uk-UA"/>
        </w:rPr>
        <w:t>Встановлення меж водоохоронних зон та прибережних захисних смуг уздовж річок, струмків і потічків та навколо водойм з метою охорони поверхневих водних об'єктів від забруднення і засмічення та збереження їх водності</w:t>
      </w:r>
      <w:r>
        <w:rPr>
          <w:sz w:val="28"/>
          <w:szCs w:val="28"/>
          <w:lang w:val="uk-UA"/>
        </w:rPr>
        <w:t xml:space="preserve"> в межах громади</w:t>
      </w:r>
      <w:r w:rsidR="00297DCF" w:rsidRPr="00297DCF">
        <w:rPr>
          <w:sz w:val="28"/>
          <w:szCs w:val="28"/>
          <w:lang w:val="uk-UA"/>
        </w:rPr>
        <w:t>.</w:t>
      </w: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97DCF" w:rsidRPr="00297DCF">
        <w:rPr>
          <w:sz w:val="28"/>
          <w:szCs w:val="28"/>
          <w:lang w:val="uk-UA"/>
        </w:rPr>
        <w:t>Забезпечення санітарного благополуччя населення шляхом визначення санітарно-захисних зон навколо об’єктів, що здійснюють негативний вплив на довкілля.</w:t>
      </w: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97DCF" w:rsidRPr="00297DCF">
        <w:rPr>
          <w:sz w:val="28"/>
          <w:szCs w:val="28"/>
          <w:lang w:val="uk-UA"/>
        </w:rPr>
        <w:t>Визначення заходів з управління поводженням з відходами з метою усунення негативного впливу на стан земельних ресурсів, поверхневих і підземних вод, а також раціонального використання ресурсів.</w:t>
      </w:r>
    </w:p>
    <w:p w:rsidR="00517F92" w:rsidRDefault="00517F92" w:rsidP="00297DCF">
      <w:pPr>
        <w:ind w:right="-83"/>
        <w:jc w:val="both"/>
        <w:rPr>
          <w:sz w:val="28"/>
          <w:szCs w:val="28"/>
          <w:lang w:val="uk-UA"/>
        </w:rPr>
      </w:pPr>
    </w:p>
    <w:p w:rsidR="00517F92" w:rsidRDefault="00517F92" w:rsidP="00297DCF">
      <w:pPr>
        <w:ind w:right="-83"/>
        <w:jc w:val="both"/>
        <w:rPr>
          <w:sz w:val="28"/>
          <w:szCs w:val="28"/>
          <w:lang w:val="uk-UA"/>
        </w:rPr>
      </w:pPr>
    </w:p>
    <w:p w:rsidR="00517F92" w:rsidRDefault="00517F92" w:rsidP="00297DCF">
      <w:pPr>
        <w:ind w:right="-83"/>
        <w:jc w:val="both"/>
        <w:rPr>
          <w:sz w:val="28"/>
          <w:szCs w:val="28"/>
          <w:lang w:val="uk-UA"/>
        </w:rPr>
      </w:pPr>
      <w:r w:rsidRPr="00517F92">
        <w:rPr>
          <w:sz w:val="28"/>
          <w:szCs w:val="28"/>
          <w:lang w:val="uk-UA"/>
        </w:rPr>
        <w:t>Секретар міської ради                                                              Оксана ГВОЗДЕНКО</w:t>
      </w:r>
    </w:p>
    <w:sectPr w:rsidR="00517F92" w:rsidSect="0076785F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04B" w:rsidRDefault="00A1404B" w:rsidP="00D95CB7">
      <w:r>
        <w:separator/>
      </w:r>
    </w:p>
  </w:endnote>
  <w:endnote w:type="continuationSeparator" w:id="0">
    <w:p w:rsidR="00A1404B" w:rsidRDefault="00A1404B" w:rsidP="00D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04B" w:rsidRDefault="00A1404B" w:rsidP="00D95CB7">
      <w:r>
        <w:separator/>
      </w:r>
    </w:p>
  </w:footnote>
  <w:footnote w:type="continuationSeparator" w:id="0">
    <w:p w:rsidR="00A1404B" w:rsidRDefault="00A1404B" w:rsidP="00D95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3027D"/>
    <w:multiLevelType w:val="hybridMultilevel"/>
    <w:tmpl w:val="573AD564"/>
    <w:lvl w:ilvl="0" w:tplc="EF44861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316AF6"/>
    <w:multiLevelType w:val="hybridMultilevel"/>
    <w:tmpl w:val="1E9CA0C4"/>
    <w:lvl w:ilvl="0" w:tplc="6E1C8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E9"/>
    <w:rsid w:val="00011003"/>
    <w:rsid w:val="00011D7F"/>
    <w:rsid w:val="000127DB"/>
    <w:rsid w:val="00013402"/>
    <w:rsid w:val="00014EC2"/>
    <w:rsid w:val="000162B5"/>
    <w:rsid w:val="0002096E"/>
    <w:rsid w:val="000257F3"/>
    <w:rsid w:val="00035973"/>
    <w:rsid w:val="00046A11"/>
    <w:rsid w:val="000478CE"/>
    <w:rsid w:val="00050F76"/>
    <w:rsid w:val="000520D5"/>
    <w:rsid w:val="000522F5"/>
    <w:rsid w:val="000556EE"/>
    <w:rsid w:val="00056AA1"/>
    <w:rsid w:val="00060FD9"/>
    <w:rsid w:val="000656D2"/>
    <w:rsid w:val="000667DD"/>
    <w:rsid w:val="000671BB"/>
    <w:rsid w:val="00071A6F"/>
    <w:rsid w:val="00072DC8"/>
    <w:rsid w:val="00077BF4"/>
    <w:rsid w:val="000816C1"/>
    <w:rsid w:val="00094007"/>
    <w:rsid w:val="0009690E"/>
    <w:rsid w:val="000979CE"/>
    <w:rsid w:val="000A0247"/>
    <w:rsid w:val="000A2E9B"/>
    <w:rsid w:val="000A4CE7"/>
    <w:rsid w:val="000A79CF"/>
    <w:rsid w:val="000B053C"/>
    <w:rsid w:val="000B7562"/>
    <w:rsid w:val="000C16D7"/>
    <w:rsid w:val="000D2E1D"/>
    <w:rsid w:val="000E23A8"/>
    <w:rsid w:val="000E4F50"/>
    <w:rsid w:val="000F60B2"/>
    <w:rsid w:val="00107370"/>
    <w:rsid w:val="00122DF9"/>
    <w:rsid w:val="001341D4"/>
    <w:rsid w:val="00135963"/>
    <w:rsid w:val="00135D62"/>
    <w:rsid w:val="00155FBD"/>
    <w:rsid w:val="001627D8"/>
    <w:rsid w:val="00166779"/>
    <w:rsid w:val="00171AFA"/>
    <w:rsid w:val="00172079"/>
    <w:rsid w:val="001722BB"/>
    <w:rsid w:val="001B62FF"/>
    <w:rsid w:val="001B65D6"/>
    <w:rsid w:val="001C04C7"/>
    <w:rsid w:val="001C16C2"/>
    <w:rsid w:val="001C4B82"/>
    <w:rsid w:val="001D7281"/>
    <w:rsid w:val="001E13DB"/>
    <w:rsid w:val="001F4695"/>
    <w:rsid w:val="001F4EFE"/>
    <w:rsid w:val="00204E1B"/>
    <w:rsid w:val="00211BD0"/>
    <w:rsid w:val="0022081C"/>
    <w:rsid w:val="00224E07"/>
    <w:rsid w:val="0022598E"/>
    <w:rsid w:val="0023082D"/>
    <w:rsid w:val="00233CBE"/>
    <w:rsid w:val="00233DFC"/>
    <w:rsid w:val="0023447A"/>
    <w:rsid w:val="00234CC1"/>
    <w:rsid w:val="0024683B"/>
    <w:rsid w:val="0025283D"/>
    <w:rsid w:val="00255365"/>
    <w:rsid w:val="00255792"/>
    <w:rsid w:val="00262BA8"/>
    <w:rsid w:val="00272C3B"/>
    <w:rsid w:val="0028143F"/>
    <w:rsid w:val="002826FB"/>
    <w:rsid w:val="00283862"/>
    <w:rsid w:val="00291E25"/>
    <w:rsid w:val="002929F1"/>
    <w:rsid w:val="0029438E"/>
    <w:rsid w:val="00295006"/>
    <w:rsid w:val="0029552C"/>
    <w:rsid w:val="00297867"/>
    <w:rsid w:val="00297DCF"/>
    <w:rsid w:val="002A56EC"/>
    <w:rsid w:val="002A5B5A"/>
    <w:rsid w:val="002B637C"/>
    <w:rsid w:val="002C1262"/>
    <w:rsid w:val="002C7D85"/>
    <w:rsid w:val="002D2F62"/>
    <w:rsid w:val="002D5EF7"/>
    <w:rsid w:val="002D7462"/>
    <w:rsid w:val="002E1B8C"/>
    <w:rsid w:val="002E22A6"/>
    <w:rsid w:val="002E359C"/>
    <w:rsid w:val="002E5A1B"/>
    <w:rsid w:val="002F230F"/>
    <w:rsid w:val="00303C11"/>
    <w:rsid w:val="00303E8F"/>
    <w:rsid w:val="00317371"/>
    <w:rsid w:val="00321926"/>
    <w:rsid w:val="00321F06"/>
    <w:rsid w:val="0032355B"/>
    <w:rsid w:val="00345F2D"/>
    <w:rsid w:val="0034699B"/>
    <w:rsid w:val="0037263D"/>
    <w:rsid w:val="00376E75"/>
    <w:rsid w:val="0038146A"/>
    <w:rsid w:val="003938A4"/>
    <w:rsid w:val="00393A1B"/>
    <w:rsid w:val="003C6936"/>
    <w:rsid w:val="003E17AB"/>
    <w:rsid w:val="003F2622"/>
    <w:rsid w:val="003F4F4C"/>
    <w:rsid w:val="00402DE9"/>
    <w:rsid w:val="004038EF"/>
    <w:rsid w:val="00404F06"/>
    <w:rsid w:val="00406CD7"/>
    <w:rsid w:val="0041470C"/>
    <w:rsid w:val="00416927"/>
    <w:rsid w:val="00420EE5"/>
    <w:rsid w:val="00427558"/>
    <w:rsid w:val="00427878"/>
    <w:rsid w:val="00434B4E"/>
    <w:rsid w:val="00440819"/>
    <w:rsid w:val="004419AB"/>
    <w:rsid w:val="00444CDC"/>
    <w:rsid w:val="004464CD"/>
    <w:rsid w:val="00446AA1"/>
    <w:rsid w:val="00446B69"/>
    <w:rsid w:val="00453D66"/>
    <w:rsid w:val="00454D65"/>
    <w:rsid w:val="004566C9"/>
    <w:rsid w:val="00467351"/>
    <w:rsid w:val="0048483E"/>
    <w:rsid w:val="004867A0"/>
    <w:rsid w:val="00487A64"/>
    <w:rsid w:val="00487DF3"/>
    <w:rsid w:val="004928CB"/>
    <w:rsid w:val="00494F49"/>
    <w:rsid w:val="004B244B"/>
    <w:rsid w:val="004C4324"/>
    <w:rsid w:val="004C5069"/>
    <w:rsid w:val="004D5A6A"/>
    <w:rsid w:val="004E0D3D"/>
    <w:rsid w:val="004E3CA3"/>
    <w:rsid w:val="00514610"/>
    <w:rsid w:val="00517F92"/>
    <w:rsid w:val="0052085E"/>
    <w:rsid w:val="005236E9"/>
    <w:rsid w:val="00533C7F"/>
    <w:rsid w:val="00534BF9"/>
    <w:rsid w:val="00540F89"/>
    <w:rsid w:val="005450F7"/>
    <w:rsid w:val="00550F96"/>
    <w:rsid w:val="00551E64"/>
    <w:rsid w:val="005572CC"/>
    <w:rsid w:val="00570A93"/>
    <w:rsid w:val="00571A35"/>
    <w:rsid w:val="00574F01"/>
    <w:rsid w:val="00576433"/>
    <w:rsid w:val="0058017A"/>
    <w:rsid w:val="00581D13"/>
    <w:rsid w:val="00584396"/>
    <w:rsid w:val="0058677B"/>
    <w:rsid w:val="0059172A"/>
    <w:rsid w:val="00592BEF"/>
    <w:rsid w:val="0059331A"/>
    <w:rsid w:val="0059634F"/>
    <w:rsid w:val="005A18B8"/>
    <w:rsid w:val="005B0DEA"/>
    <w:rsid w:val="005B37E9"/>
    <w:rsid w:val="005B46D2"/>
    <w:rsid w:val="005C0B45"/>
    <w:rsid w:val="005C46FA"/>
    <w:rsid w:val="005C5CFB"/>
    <w:rsid w:val="005E70D4"/>
    <w:rsid w:val="005F1870"/>
    <w:rsid w:val="005F2C2A"/>
    <w:rsid w:val="005F73C3"/>
    <w:rsid w:val="00605482"/>
    <w:rsid w:val="00606737"/>
    <w:rsid w:val="00614221"/>
    <w:rsid w:val="006235D5"/>
    <w:rsid w:val="006265D7"/>
    <w:rsid w:val="00626816"/>
    <w:rsid w:val="00627FCB"/>
    <w:rsid w:val="0063015D"/>
    <w:rsid w:val="00652DD2"/>
    <w:rsid w:val="00653BBB"/>
    <w:rsid w:val="0065707A"/>
    <w:rsid w:val="00664EB6"/>
    <w:rsid w:val="00683863"/>
    <w:rsid w:val="006841F1"/>
    <w:rsid w:val="00692FAB"/>
    <w:rsid w:val="00693F8F"/>
    <w:rsid w:val="006A77BF"/>
    <w:rsid w:val="006B66C8"/>
    <w:rsid w:val="006B6F0E"/>
    <w:rsid w:val="006B7B44"/>
    <w:rsid w:val="006D67B4"/>
    <w:rsid w:val="006E3DEE"/>
    <w:rsid w:val="006F1B3C"/>
    <w:rsid w:val="00705BF6"/>
    <w:rsid w:val="00712158"/>
    <w:rsid w:val="007212A3"/>
    <w:rsid w:val="00723F17"/>
    <w:rsid w:val="0074064A"/>
    <w:rsid w:val="00743680"/>
    <w:rsid w:val="00746FB9"/>
    <w:rsid w:val="00751251"/>
    <w:rsid w:val="007515CF"/>
    <w:rsid w:val="00751CEE"/>
    <w:rsid w:val="0075763C"/>
    <w:rsid w:val="00763DE0"/>
    <w:rsid w:val="00765278"/>
    <w:rsid w:val="0076785F"/>
    <w:rsid w:val="00772D55"/>
    <w:rsid w:val="00773A71"/>
    <w:rsid w:val="00790140"/>
    <w:rsid w:val="007A14FA"/>
    <w:rsid w:val="007A7560"/>
    <w:rsid w:val="007B428F"/>
    <w:rsid w:val="007C2D11"/>
    <w:rsid w:val="007C63FB"/>
    <w:rsid w:val="007D45D8"/>
    <w:rsid w:val="007D5FE7"/>
    <w:rsid w:val="007D754C"/>
    <w:rsid w:val="007E0CC4"/>
    <w:rsid w:val="007E1582"/>
    <w:rsid w:val="007E5B0A"/>
    <w:rsid w:val="007F4E8A"/>
    <w:rsid w:val="0080050D"/>
    <w:rsid w:val="00801A2C"/>
    <w:rsid w:val="00801C5B"/>
    <w:rsid w:val="00801C7C"/>
    <w:rsid w:val="00802C5A"/>
    <w:rsid w:val="00804AF9"/>
    <w:rsid w:val="00807A6C"/>
    <w:rsid w:val="0081139D"/>
    <w:rsid w:val="00811B5E"/>
    <w:rsid w:val="008169D9"/>
    <w:rsid w:val="0082126E"/>
    <w:rsid w:val="008214E3"/>
    <w:rsid w:val="008450E3"/>
    <w:rsid w:val="008473D5"/>
    <w:rsid w:val="00847F29"/>
    <w:rsid w:val="00853BB2"/>
    <w:rsid w:val="00854ACD"/>
    <w:rsid w:val="0086079E"/>
    <w:rsid w:val="00864E49"/>
    <w:rsid w:val="00865A03"/>
    <w:rsid w:val="008817C1"/>
    <w:rsid w:val="00883DC3"/>
    <w:rsid w:val="00886C3B"/>
    <w:rsid w:val="00895015"/>
    <w:rsid w:val="008A49C1"/>
    <w:rsid w:val="008A5A6F"/>
    <w:rsid w:val="008B747F"/>
    <w:rsid w:val="008D0E52"/>
    <w:rsid w:val="008D5393"/>
    <w:rsid w:val="008E0D4B"/>
    <w:rsid w:val="008E6158"/>
    <w:rsid w:val="009038A7"/>
    <w:rsid w:val="00913EE1"/>
    <w:rsid w:val="0091498E"/>
    <w:rsid w:val="00916E84"/>
    <w:rsid w:val="009171AD"/>
    <w:rsid w:val="00925D95"/>
    <w:rsid w:val="009379CA"/>
    <w:rsid w:val="00951542"/>
    <w:rsid w:val="009619C5"/>
    <w:rsid w:val="009629FF"/>
    <w:rsid w:val="00970AB4"/>
    <w:rsid w:val="00983D42"/>
    <w:rsid w:val="00992286"/>
    <w:rsid w:val="009B3999"/>
    <w:rsid w:val="009C35F8"/>
    <w:rsid w:val="009D4443"/>
    <w:rsid w:val="009E5353"/>
    <w:rsid w:val="009F011F"/>
    <w:rsid w:val="009F0350"/>
    <w:rsid w:val="009F6A99"/>
    <w:rsid w:val="00A07334"/>
    <w:rsid w:val="00A1404B"/>
    <w:rsid w:val="00A148F0"/>
    <w:rsid w:val="00A23E84"/>
    <w:rsid w:val="00A24988"/>
    <w:rsid w:val="00A268A8"/>
    <w:rsid w:val="00A307B8"/>
    <w:rsid w:val="00A34269"/>
    <w:rsid w:val="00A34BF6"/>
    <w:rsid w:val="00A41EF3"/>
    <w:rsid w:val="00A5023F"/>
    <w:rsid w:val="00A5346F"/>
    <w:rsid w:val="00A57713"/>
    <w:rsid w:val="00A61122"/>
    <w:rsid w:val="00A62319"/>
    <w:rsid w:val="00A6761F"/>
    <w:rsid w:val="00A77A09"/>
    <w:rsid w:val="00A77C84"/>
    <w:rsid w:val="00A82950"/>
    <w:rsid w:val="00A84913"/>
    <w:rsid w:val="00A91073"/>
    <w:rsid w:val="00A91D67"/>
    <w:rsid w:val="00A97A3F"/>
    <w:rsid w:val="00AA7B0D"/>
    <w:rsid w:val="00AA7CA5"/>
    <w:rsid w:val="00AB0029"/>
    <w:rsid w:val="00AB2023"/>
    <w:rsid w:val="00AB2286"/>
    <w:rsid w:val="00AB4EB2"/>
    <w:rsid w:val="00AB6074"/>
    <w:rsid w:val="00AB71DB"/>
    <w:rsid w:val="00AC0168"/>
    <w:rsid w:val="00AC2F7A"/>
    <w:rsid w:val="00AC7145"/>
    <w:rsid w:val="00AD5A30"/>
    <w:rsid w:val="00AD7941"/>
    <w:rsid w:val="00AE10BC"/>
    <w:rsid w:val="00AE264F"/>
    <w:rsid w:val="00AF3AA0"/>
    <w:rsid w:val="00AF5E6F"/>
    <w:rsid w:val="00AF7D9A"/>
    <w:rsid w:val="00B103EC"/>
    <w:rsid w:val="00B12FD9"/>
    <w:rsid w:val="00B15D64"/>
    <w:rsid w:val="00B20D4E"/>
    <w:rsid w:val="00B2111E"/>
    <w:rsid w:val="00B2218A"/>
    <w:rsid w:val="00B23B77"/>
    <w:rsid w:val="00B25F35"/>
    <w:rsid w:val="00B44265"/>
    <w:rsid w:val="00B56B7D"/>
    <w:rsid w:val="00B74B06"/>
    <w:rsid w:val="00B75BCD"/>
    <w:rsid w:val="00B77B51"/>
    <w:rsid w:val="00B9152F"/>
    <w:rsid w:val="00BA08E4"/>
    <w:rsid w:val="00BC22DD"/>
    <w:rsid w:val="00BC269B"/>
    <w:rsid w:val="00BF05F7"/>
    <w:rsid w:val="00BF3B76"/>
    <w:rsid w:val="00BF6F19"/>
    <w:rsid w:val="00C00D25"/>
    <w:rsid w:val="00C0166B"/>
    <w:rsid w:val="00C063E6"/>
    <w:rsid w:val="00C13064"/>
    <w:rsid w:val="00C14E76"/>
    <w:rsid w:val="00C162AB"/>
    <w:rsid w:val="00C16385"/>
    <w:rsid w:val="00C30268"/>
    <w:rsid w:val="00C36777"/>
    <w:rsid w:val="00C45F03"/>
    <w:rsid w:val="00C535D9"/>
    <w:rsid w:val="00C61E77"/>
    <w:rsid w:val="00C85E2A"/>
    <w:rsid w:val="00C87528"/>
    <w:rsid w:val="00C96262"/>
    <w:rsid w:val="00C96D55"/>
    <w:rsid w:val="00CA2074"/>
    <w:rsid w:val="00CB1D40"/>
    <w:rsid w:val="00CB314E"/>
    <w:rsid w:val="00CB48E1"/>
    <w:rsid w:val="00CB50A5"/>
    <w:rsid w:val="00CC11DF"/>
    <w:rsid w:val="00CC38E2"/>
    <w:rsid w:val="00CC496A"/>
    <w:rsid w:val="00CD3A1C"/>
    <w:rsid w:val="00CE7758"/>
    <w:rsid w:val="00CF09B9"/>
    <w:rsid w:val="00CF3725"/>
    <w:rsid w:val="00CF71BC"/>
    <w:rsid w:val="00CF71C3"/>
    <w:rsid w:val="00D00263"/>
    <w:rsid w:val="00D00521"/>
    <w:rsid w:val="00D03C7F"/>
    <w:rsid w:val="00D0769B"/>
    <w:rsid w:val="00D115D1"/>
    <w:rsid w:val="00D12CAF"/>
    <w:rsid w:val="00D2583C"/>
    <w:rsid w:val="00D41B92"/>
    <w:rsid w:val="00D4652E"/>
    <w:rsid w:val="00D469E1"/>
    <w:rsid w:val="00D5625C"/>
    <w:rsid w:val="00D61BED"/>
    <w:rsid w:val="00D62D8D"/>
    <w:rsid w:val="00D67315"/>
    <w:rsid w:val="00D72EA2"/>
    <w:rsid w:val="00D73AA8"/>
    <w:rsid w:val="00D75043"/>
    <w:rsid w:val="00D75E2E"/>
    <w:rsid w:val="00D8549D"/>
    <w:rsid w:val="00D94BE5"/>
    <w:rsid w:val="00D95CB7"/>
    <w:rsid w:val="00DA32C9"/>
    <w:rsid w:val="00DB1AF9"/>
    <w:rsid w:val="00DB3835"/>
    <w:rsid w:val="00DB51C6"/>
    <w:rsid w:val="00DB769B"/>
    <w:rsid w:val="00DC6E8D"/>
    <w:rsid w:val="00DD1B90"/>
    <w:rsid w:val="00DD63D3"/>
    <w:rsid w:val="00DE011D"/>
    <w:rsid w:val="00DF1676"/>
    <w:rsid w:val="00DF3C73"/>
    <w:rsid w:val="00DF41DA"/>
    <w:rsid w:val="00E0248D"/>
    <w:rsid w:val="00E05878"/>
    <w:rsid w:val="00E11F07"/>
    <w:rsid w:val="00E16F95"/>
    <w:rsid w:val="00E17490"/>
    <w:rsid w:val="00E2664A"/>
    <w:rsid w:val="00E45CE8"/>
    <w:rsid w:val="00E567FC"/>
    <w:rsid w:val="00E57B99"/>
    <w:rsid w:val="00E727CD"/>
    <w:rsid w:val="00E75936"/>
    <w:rsid w:val="00E77ABA"/>
    <w:rsid w:val="00E8491F"/>
    <w:rsid w:val="00E94E54"/>
    <w:rsid w:val="00E94FCB"/>
    <w:rsid w:val="00EA0716"/>
    <w:rsid w:val="00EA5D97"/>
    <w:rsid w:val="00EB1974"/>
    <w:rsid w:val="00EB568E"/>
    <w:rsid w:val="00EC7AE9"/>
    <w:rsid w:val="00EC7FF1"/>
    <w:rsid w:val="00ED135D"/>
    <w:rsid w:val="00ED3CEF"/>
    <w:rsid w:val="00ED3F8C"/>
    <w:rsid w:val="00EE2E66"/>
    <w:rsid w:val="00EE4E3C"/>
    <w:rsid w:val="00EF01C0"/>
    <w:rsid w:val="00F116E6"/>
    <w:rsid w:val="00F164E5"/>
    <w:rsid w:val="00F2011A"/>
    <w:rsid w:val="00F2390A"/>
    <w:rsid w:val="00F23BF0"/>
    <w:rsid w:val="00F24A28"/>
    <w:rsid w:val="00F27E5B"/>
    <w:rsid w:val="00F31519"/>
    <w:rsid w:val="00F37B3C"/>
    <w:rsid w:val="00F4042D"/>
    <w:rsid w:val="00F43B9C"/>
    <w:rsid w:val="00F53C3E"/>
    <w:rsid w:val="00F56FF5"/>
    <w:rsid w:val="00F609C5"/>
    <w:rsid w:val="00F70CDA"/>
    <w:rsid w:val="00F71ABB"/>
    <w:rsid w:val="00F72927"/>
    <w:rsid w:val="00F763B8"/>
    <w:rsid w:val="00F824AF"/>
    <w:rsid w:val="00F90671"/>
    <w:rsid w:val="00F921BF"/>
    <w:rsid w:val="00F95887"/>
    <w:rsid w:val="00F97855"/>
    <w:rsid w:val="00FA1356"/>
    <w:rsid w:val="00FA2774"/>
    <w:rsid w:val="00FA316B"/>
    <w:rsid w:val="00FA59C5"/>
    <w:rsid w:val="00FC1CD4"/>
    <w:rsid w:val="00FC1EF5"/>
    <w:rsid w:val="00FD1D87"/>
    <w:rsid w:val="00FD661A"/>
    <w:rsid w:val="00FD7FC8"/>
    <w:rsid w:val="00FF315C"/>
    <w:rsid w:val="00FF4573"/>
    <w:rsid w:val="00FF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97B09"/>
  <w15:docId w15:val="{0E9EB51B-512B-4A88-AE0D-68A3CE3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DE9"/>
    <w:rPr>
      <w:sz w:val="24"/>
      <w:szCs w:val="24"/>
    </w:rPr>
  </w:style>
  <w:style w:type="paragraph" w:styleId="1">
    <w:name w:val="heading 1"/>
    <w:basedOn w:val="a"/>
    <w:next w:val="a"/>
    <w:qFormat/>
    <w:rsid w:val="00402DE9"/>
    <w:pPr>
      <w:keepNext/>
      <w:jc w:val="center"/>
      <w:outlineLvl w:val="0"/>
    </w:pPr>
    <w:rPr>
      <w:b/>
      <w:sz w:val="36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C14E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9">
    <w:name w:val="heading 9"/>
    <w:basedOn w:val="a"/>
    <w:next w:val="a"/>
    <w:link w:val="90"/>
    <w:semiHidden/>
    <w:unhideWhenUsed/>
    <w:qFormat/>
    <w:rsid w:val="00B12FD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52E"/>
    <w:rPr>
      <w:color w:val="0000FF"/>
      <w:u w:val="single"/>
    </w:rPr>
  </w:style>
  <w:style w:type="paragraph" w:styleId="a4">
    <w:name w:val="Balloon Text"/>
    <w:basedOn w:val="a"/>
    <w:link w:val="a5"/>
    <w:rsid w:val="00294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943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7C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AA7C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605482"/>
    <w:pPr>
      <w:spacing w:before="100" w:beforeAutospacing="1" w:after="100" w:afterAutospacing="1"/>
    </w:pPr>
    <w:rPr>
      <w:rFonts w:eastAsia="Calibri"/>
    </w:rPr>
  </w:style>
  <w:style w:type="paragraph" w:styleId="a9">
    <w:name w:val="Plain Text"/>
    <w:basedOn w:val="a"/>
    <w:link w:val="aa"/>
    <w:rsid w:val="00605482"/>
    <w:pPr>
      <w:spacing w:after="200" w:line="276" w:lineRule="auto"/>
    </w:pPr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aa">
    <w:name w:val="Текст Знак"/>
    <w:basedOn w:val="a0"/>
    <w:link w:val="a9"/>
    <w:rsid w:val="00605482"/>
    <w:rPr>
      <w:rFonts w:ascii="Courier New" w:hAnsi="Courier New" w:cs="Courier New"/>
      <w:lang w:val="uk-UA" w:eastAsia="en-US"/>
    </w:rPr>
  </w:style>
  <w:style w:type="character" w:customStyle="1" w:styleId="docdata">
    <w:name w:val="docdata"/>
    <w:aliases w:val="docy,v5,2727,baiaagaaboqcaaadngyaaawsbgaaaaaaaaaaaaaaaaaaaaaaaaaaaaaaaaaaaaaaaaaaaaaaaaaaaaaaaaaaaaaaaaaaaaaaaaaaaaaaaaaaaaaaaaaaaaaaaaaaaaaaaaaaaaaaaaaaaaaaaaaaaaaaaaaaaaaaaaaaaaaaaaaaaaaaaaaaaaaaaaaaaaaaaaaaaaaaaaaaaaaaaaaaaaaaaaaaaaaaaaaaaaaa"/>
    <w:basedOn w:val="a0"/>
    <w:rsid w:val="00605482"/>
  </w:style>
  <w:style w:type="paragraph" w:styleId="ab">
    <w:name w:val="header"/>
    <w:basedOn w:val="a"/>
    <w:link w:val="ac"/>
    <w:uiPriority w:val="99"/>
    <w:rsid w:val="003938A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3938A4"/>
    <w:rPr>
      <w:sz w:val="28"/>
    </w:rPr>
  </w:style>
  <w:style w:type="character" w:styleId="ad">
    <w:name w:val="page number"/>
    <w:rsid w:val="003938A4"/>
  </w:style>
  <w:style w:type="paragraph" w:styleId="ae">
    <w:name w:val="footer"/>
    <w:basedOn w:val="a"/>
    <w:link w:val="af"/>
    <w:rsid w:val="00D95CB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rsid w:val="00D95CB7"/>
    <w:rPr>
      <w:sz w:val="24"/>
      <w:szCs w:val="24"/>
    </w:rPr>
  </w:style>
  <w:style w:type="paragraph" w:customStyle="1" w:styleId="rvps2">
    <w:name w:val="rvps2"/>
    <w:basedOn w:val="a"/>
    <w:rsid w:val="00F921BF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F921BF"/>
  </w:style>
  <w:style w:type="character" w:customStyle="1" w:styleId="rvts23">
    <w:name w:val="rvts23"/>
    <w:rsid w:val="00F921BF"/>
  </w:style>
  <w:style w:type="paragraph" w:styleId="af0">
    <w:name w:val="No Spacing"/>
    <w:uiPriority w:val="1"/>
    <w:qFormat/>
    <w:rsid w:val="00077BF4"/>
    <w:rPr>
      <w:rFonts w:ascii="Calibri" w:eastAsia="SimSun" w:hAnsi="Calibri"/>
      <w:sz w:val="22"/>
      <w:szCs w:val="22"/>
      <w:lang w:eastAsia="zh-CN"/>
    </w:rPr>
  </w:style>
  <w:style w:type="character" w:customStyle="1" w:styleId="rvts0">
    <w:name w:val="rvts0"/>
    <w:basedOn w:val="a0"/>
    <w:rsid w:val="00077BF4"/>
  </w:style>
  <w:style w:type="character" w:customStyle="1" w:styleId="90">
    <w:name w:val="Заголовок 9 Знак"/>
    <w:basedOn w:val="a0"/>
    <w:link w:val="9"/>
    <w:semiHidden/>
    <w:rsid w:val="00B12F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1">
    <w:name w:val="Body Text Indent"/>
    <w:basedOn w:val="a"/>
    <w:link w:val="af2"/>
    <w:rsid w:val="00B12FD9"/>
    <w:pPr>
      <w:spacing w:after="120"/>
      <w:ind w:left="283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B12FD9"/>
  </w:style>
  <w:style w:type="character" w:customStyle="1" w:styleId="40">
    <w:name w:val="Заголовок 4 Знак"/>
    <w:basedOn w:val="a0"/>
    <w:link w:val="4"/>
    <w:semiHidden/>
    <w:rsid w:val="00C14E7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10">
    <w:name w:val="Обычный (веб)1"/>
    <w:basedOn w:val="a"/>
    <w:rsid w:val="00CB48E1"/>
    <w:pPr>
      <w:suppressAutoHyphens/>
      <w:spacing w:before="100" w:after="100" w:line="100" w:lineRule="atLeast"/>
    </w:pPr>
    <w:rPr>
      <w:sz w:val="28"/>
      <w:szCs w:val="2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8715F-737F-41CF-B82B-8C34ED1E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6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</cp:lastModifiedBy>
  <cp:revision>119</cp:revision>
  <cp:lastPrinted>2024-01-23T08:03:00Z</cp:lastPrinted>
  <dcterms:created xsi:type="dcterms:W3CDTF">2021-01-16T11:09:00Z</dcterms:created>
  <dcterms:modified xsi:type="dcterms:W3CDTF">2024-02-05T13:25:00Z</dcterms:modified>
</cp:coreProperties>
</file>