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2E37D1" w:rsidP="00BA6C46">
      <w:pPr>
        <w:pStyle w:val="1"/>
        <w:tabs>
          <w:tab w:val="left" w:pos="5245"/>
        </w:tabs>
        <w:ind w:right="3969"/>
        <w:jc w:val="center"/>
        <w:rPr>
          <w:b/>
          <w:szCs w:val="28"/>
        </w:rPr>
      </w:pPr>
      <w:r>
        <w:rPr>
          <w:b/>
          <w:szCs w:val="28"/>
        </w:rPr>
        <w:t xml:space="preserve">                      </w:t>
      </w:r>
      <w:r w:rsidR="00BA6C46">
        <w:rPr>
          <w:b/>
          <w:szCs w:val="28"/>
        </w:rPr>
        <w:t xml:space="preserve">                                    </w:t>
      </w:r>
      <w:r w:rsidR="00BA6C46" w:rsidRPr="00BF05F7">
        <w:rPr>
          <w:b/>
          <w:noProof/>
          <w:szCs w:val="28"/>
          <w:lang w:val="ru-RU"/>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BA6C46" w:rsidRDefault="00BA6C46" w:rsidP="00BA6C46"/>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9E3EB2" w:rsidRDefault="0059286C" w:rsidP="00DF76C6">
      <w:pPr>
        <w:pStyle w:val="1"/>
        <w:spacing w:before="120"/>
        <w:ind w:right="0"/>
        <w:rPr>
          <w:szCs w:val="28"/>
        </w:rPr>
      </w:pPr>
      <w:r>
        <w:rPr>
          <w:szCs w:val="28"/>
        </w:rPr>
        <w:t>28.02.2024</w:t>
      </w:r>
      <w:r w:rsidR="00BA6C46">
        <w:rPr>
          <w:szCs w:val="28"/>
        </w:rPr>
        <w:t xml:space="preserve">                                            </w:t>
      </w:r>
      <w:r w:rsidR="009F1B05">
        <w:rPr>
          <w:szCs w:val="28"/>
        </w:rPr>
        <w:t xml:space="preserve">     </w:t>
      </w:r>
      <w:r w:rsidR="00CF2DC6">
        <w:rPr>
          <w:szCs w:val="28"/>
        </w:rPr>
        <w:t xml:space="preserve">  </w:t>
      </w:r>
      <w:r w:rsidR="00AC767C">
        <w:rPr>
          <w:szCs w:val="28"/>
        </w:rPr>
        <w:t xml:space="preserve">                                    </w:t>
      </w:r>
      <w:r w:rsidR="00E465A2">
        <w:rPr>
          <w:szCs w:val="28"/>
        </w:rPr>
        <w:t xml:space="preserve"> </w:t>
      </w:r>
      <w:r w:rsidR="00BA6C46" w:rsidRPr="00E75D88">
        <w:rPr>
          <w:szCs w:val="28"/>
        </w:rPr>
        <w:t>№</w:t>
      </w:r>
      <w:r w:rsidR="00E465A2">
        <w:rPr>
          <w:szCs w:val="28"/>
        </w:rPr>
        <w:t xml:space="preserve"> </w:t>
      </w:r>
      <w:r w:rsidR="00AC767C">
        <w:rPr>
          <w:szCs w:val="28"/>
        </w:rPr>
        <w:t xml:space="preserve"> </w:t>
      </w:r>
      <w:r>
        <w:rPr>
          <w:szCs w:val="28"/>
        </w:rPr>
        <w:t>1067</w:t>
      </w:r>
    </w:p>
    <w:p w:rsidR="002E37D1" w:rsidRPr="0059286C" w:rsidRDefault="002E37D1" w:rsidP="002E37D1">
      <w:pPr>
        <w:rPr>
          <w:sz w:val="16"/>
          <w:szCs w:val="16"/>
        </w:rPr>
      </w:pPr>
    </w:p>
    <w:p w:rsidR="00000E47" w:rsidRPr="00D325BB" w:rsidRDefault="00000E47" w:rsidP="00000E47">
      <w:pPr>
        <w:pStyle w:val="1"/>
        <w:spacing w:before="120"/>
        <w:ind w:right="5244"/>
        <w:jc w:val="both"/>
        <w:rPr>
          <w:szCs w:val="28"/>
        </w:rPr>
      </w:pPr>
      <w:r w:rsidRPr="00D325BB">
        <w:rPr>
          <w:szCs w:val="28"/>
        </w:rPr>
        <w:t xml:space="preserve">Про </w:t>
      </w:r>
      <w:r>
        <w:rPr>
          <w:szCs w:val="28"/>
        </w:rPr>
        <w:t>внесення змін до фонду</w:t>
      </w:r>
      <w:r w:rsidRPr="00D325BB">
        <w:rPr>
          <w:szCs w:val="28"/>
        </w:rPr>
        <w:t xml:space="preserve"> захисних споруд цивільного захисту </w:t>
      </w:r>
      <w:r>
        <w:rPr>
          <w:szCs w:val="28"/>
        </w:rPr>
        <w:t>Звягельської міської територіальної громади</w:t>
      </w:r>
    </w:p>
    <w:p w:rsidR="00DF76C6" w:rsidRPr="0059286C" w:rsidRDefault="00DF76C6" w:rsidP="00DF76C6">
      <w:pPr>
        <w:rPr>
          <w:sz w:val="16"/>
          <w:szCs w:val="16"/>
        </w:rPr>
      </w:pPr>
    </w:p>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 xml:space="preserve">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10.03.2017 </w:t>
      </w:r>
      <w:r w:rsidR="006F656F">
        <w:rPr>
          <w:sz w:val="28"/>
          <w:szCs w:val="28"/>
        </w:rPr>
        <w:t xml:space="preserve">           </w:t>
      </w:r>
      <w:r>
        <w:rPr>
          <w:sz w:val="28"/>
          <w:szCs w:val="28"/>
        </w:rPr>
        <w:t xml:space="preserve">№ 138 </w:t>
      </w:r>
      <w:r w:rsidRPr="00F06E57">
        <w:rPr>
          <w:sz w:val="28"/>
          <w:szCs w:val="28"/>
        </w:rPr>
        <w:t>«</w:t>
      </w:r>
      <w:r w:rsidRPr="00F06E57">
        <w:rPr>
          <w:bCs/>
          <w:sz w:val="28"/>
          <w:szCs w:val="28"/>
          <w:shd w:val="clear" w:color="auto" w:fill="FFFFFF"/>
        </w:rPr>
        <w:t>Деякі питання використання захисних споруд цивільного захисту</w:t>
      </w:r>
      <w:r w:rsidRPr="00F06E57">
        <w:rPr>
          <w:sz w:val="28"/>
          <w:szCs w:val="28"/>
        </w:rPr>
        <w:t>»</w:t>
      </w:r>
      <w:r w:rsidR="00DF6B74">
        <w:rPr>
          <w:sz w:val="28"/>
          <w:szCs w:val="28"/>
        </w:rPr>
        <w:t>,</w:t>
      </w:r>
      <w:r w:rsidR="00DF6B74">
        <w:rPr>
          <w:sz w:val="28"/>
          <w:szCs w:val="28"/>
          <w:shd w:val="clear" w:color="auto" w:fill="FFFFFF"/>
        </w:rPr>
        <w:t xml:space="preserve"> </w:t>
      </w:r>
      <w:r w:rsidR="00000E47">
        <w:rPr>
          <w:sz w:val="28"/>
          <w:szCs w:val="28"/>
          <w:shd w:val="clear" w:color="auto" w:fill="FFFFFF"/>
        </w:rPr>
        <w:t xml:space="preserve">враховуючи лист ТзОВ </w:t>
      </w:r>
      <w:r w:rsidR="00000E47" w:rsidRPr="00000E47">
        <w:rPr>
          <w:sz w:val="28"/>
          <w:szCs w:val="28"/>
          <w:shd w:val="clear" w:color="auto" w:fill="FFFFFF"/>
        </w:rPr>
        <w:t>«</w:t>
      </w:r>
      <w:r w:rsidR="00000E47" w:rsidRPr="00000E47">
        <w:rPr>
          <w:sz w:val="28"/>
          <w:szCs w:val="28"/>
        </w:rPr>
        <w:t>«Оператор газотранспортної системи України» Бердичівське лінійне виробниче управління магістральних газопроводів</w:t>
      </w:r>
      <w:r w:rsidR="00000E47">
        <w:rPr>
          <w:sz w:val="28"/>
          <w:szCs w:val="28"/>
          <w:shd w:val="clear" w:color="auto" w:fill="FFFFFF"/>
        </w:rPr>
        <w:t xml:space="preserve"> </w:t>
      </w:r>
      <w:r w:rsidR="0059286C">
        <w:rPr>
          <w:sz w:val="28"/>
          <w:szCs w:val="28"/>
          <w:shd w:val="clear" w:color="auto" w:fill="FFFFFF"/>
        </w:rPr>
        <w:t>від</w:t>
      </w:r>
      <w:r w:rsidR="00000E47">
        <w:rPr>
          <w:sz w:val="28"/>
          <w:szCs w:val="28"/>
          <w:shd w:val="clear" w:color="auto" w:fill="FFFFFF"/>
        </w:rPr>
        <w:t xml:space="preserve"> 27.02.2024 № 7306ВИХ-24-301, </w:t>
      </w:r>
      <w:r>
        <w:rPr>
          <w:sz w:val="28"/>
          <w:szCs w:val="28"/>
        </w:rPr>
        <w:t xml:space="preserve">виконавчий комітет </w:t>
      </w:r>
      <w:r w:rsidRPr="00D325BB">
        <w:rPr>
          <w:sz w:val="28"/>
          <w:szCs w:val="28"/>
        </w:rPr>
        <w:t>міської ради</w:t>
      </w:r>
    </w:p>
    <w:p w:rsidR="00DA4318" w:rsidRPr="0059286C" w:rsidRDefault="00DA4318" w:rsidP="00BA6C46">
      <w:pPr>
        <w:ind w:right="-142"/>
        <w:jc w:val="both"/>
        <w:rPr>
          <w:sz w:val="16"/>
          <w:szCs w:val="16"/>
          <w:shd w:val="clear" w:color="auto" w:fill="FFFFFF"/>
        </w:rPr>
      </w:pPr>
    </w:p>
    <w:p w:rsidR="00DA4318" w:rsidRDefault="00DA4318" w:rsidP="00BA6C46">
      <w:pPr>
        <w:ind w:right="-142"/>
        <w:jc w:val="both"/>
        <w:rPr>
          <w:sz w:val="28"/>
          <w:szCs w:val="28"/>
        </w:rPr>
      </w:pPr>
      <w:r w:rsidRPr="00D325BB">
        <w:rPr>
          <w:sz w:val="28"/>
          <w:szCs w:val="28"/>
        </w:rPr>
        <w:t>ВИРІШИВ</w:t>
      </w:r>
      <w:r>
        <w:rPr>
          <w:sz w:val="28"/>
          <w:szCs w:val="28"/>
        </w:rPr>
        <w:t>:</w:t>
      </w:r>
    </w:p>
    <w:p w:rsidR="00BA6C46" w:rsidRPr="0059286C" w:rsidRDefault="00BA6C46" w:rsidP="00BA6C46">
      <w:pPr>
        <w:ind w:right="-142"/>
        <w:jc w:val="both"/>
        <w:rPr>
          <w:sz w:val="16"/>
          <w:szCs w:val="16"/>
        </w:rPr>
      </w:pPr>
    </w:p>
    <w:p w:rsidR="00F071F3" w:rsidRPr="000411CC" w:rsidRDefault="00000E47" w:rsidP="00000E47">
      <w:pPr>
        <w:ind w:right="-142" w:firstLine="709"/>
        <w:jc w:val="both"/>
        <w:rPr>
          <w:sz w:val="28"/>
          <w:szCs w:val="28"/>
        </w:rPr>
      </w:pPr>
      <w:r>
        <w:rPr>
          <w:sz w:val="28"/>
          <w:szCs w:val="28"/>
        </w:rPr>
        <w:t xml:space="preserve"> </w:t>
      </w:r>
      <w:r w:rsidRPr="00246402">
        <w:rPr>
          <w:sz w:val="28"/>
          <w:szCs w:val="28"/>
        </w:rPr>
        <w:t xml:space="preserve">1. </w:t>
      </w:r>
      <w:proofErr w:type="spellStart"/>
      <w:r>
        <w:rPr>
          <w:sz w:val="28"/>
          <w:szCs w:val="28"/>
        </w:rPr>
        <w:t>Внести</w:t>
      </w:r>
      <w:proofErr w:type="spellEnd"/>
      <w:r>
        <w:rPr>
          <w:sz w:val="28"/>
          <w:szCs w:val="28"/>
        </w:rPr>
        <w:t xml:space="preserve"> зміни до</w:t>
      </w:r>
      <w:r w:rsidRPr="00246402">
        <w:rPr>
          <w:sz w:val="28"/>
          <w:szCs w:val="28"/>
        </w:rPr>
        <w:t xml:space="preserve"> фонд</w:t>
      </w:r>
      <w:r>
        <w:rPr>
          <w:sz w:val="28"/>
          <w:szCs w:val="28"/>
        </w:rPr>
        <w:t>у</w:t>
      </w:r>
      <w:r w:rsidRPr="00246402">
        <w:rPr>
          <w:sz w:val="28"/>
          <w:szCs w:val="28"/>
        </w:rPr>
        <w:t xml:space="preserve"> захисних споруд цивільного захисту </w:t>
      </w:r>
      <w:r>
        <w:rPr>
          <w:sz w:val="28"/>
          <w:szCs w:val="28"/>
        </w:rPr>
        <w:t>Звягельської</w:t>
      </w:r>
      <w:r w:rsidRPr="00246402">
        <w:rPr>
          <w:sz w:val="28"/>
          <w:szCs w:val="28"/>
        </w:rPr>
        <w:t xml:space="preserve"> міської територіальної громади</w:t>
      </w:r>
      <w:r>
        <w:rPr>
          <w:sz w:val="28"/>
          <w:szCs w:val="28"/>
        </w:rPr>
        <w:t>, затвердженого рішенням виконавчого комітету міської ради від 26.07.2023 № 836 «Про затвердження фонду захисних споруд цивільного захисту Звягельської міської територіальної громади», а саме доповнити додаток 2 до рішення пунктом 37 наступного змісту</w:t>
      </w:r>
      <w:r w:rsidRPr="000411CC">
        <w:rPr>
          <w:sz w:val="28"/>
          <w:szCs w:val="28"/>
        </w:rPr>
        <w:t xml:space="preserve">: </w:t>
      </w:r>
    </w:p>
    <w:tbl>
      <w:tblPr>
        <w:tblStyle w:val="a5"/>
        <w:tblW w:w="10094" w:type="dxa"/>
        <w:tblInd w:w="-176" w:type="dxa"/>
        <w:tblLayout w:type="fixed"/>
        <w:tblLook w:val="04A0" w:firstRow="1" w:lastRow="0" w:firstColumn="1" w:lastColumn="0" w:noHBand="0" w:noVBand="1"/>
      </w:tblPr>
      <w:tblGrid>
        <w:gridCol w:w="568"/>
        <w:gridCol w:w="1701"/>
        <w:gridCol w:w="2013"/>
        <w:gridCol w:w="1843"/>
        <w:gridCol w:w="1842"/>
        <w:gridCol w:w="1134"/>
        <w:gridCol w:w="993"/>
      </w:tblGrid>
      <w:tr w:rsidR="0016355C" w:rsidRPr="00BA6C46" w:rsidTr="0059286C">
        <w:tc>
          <w:tcPr>
            <w:tcW w:w="568" w:type="dxa"/>
            <w:vAlign w:val="center"/>
          </w:tcPr>
          <w:p w:rsidR="005F4699" w:rsidRPr="00BA6C46" w:rsidRDefault="005F4699" w:rsidP="003F60F1">
            <w:pPr>
              <w:pStyle w:val="a8"/>
              <w:spacing w:before="0" w:beforeAutospacing="0" w:after="0" w:afterAutospacing="0"/>
              <w:jc w:val="center"/>
            </w:pPr>
            <w:r w:rsidRPr="00BA6C46">
              <w:rPr>
                <w:b/>
                <w:bCs/>
                <w:color w:val="000000"/>
              </w:rPr>
              <w:t>№</w:t>
            </w:r>
          </w:p>
        </w:tc>
        <w:tc>
          <w:tcPr>
            <w:tcW w:w="1701" w:type="dxa"/>
            <w:vAlign w:val="center"/>
          </w:tcPr>
          <w:p w:rsidR="005F4699" w:rsidRPr="00BA6C46" w:rsidRDefault="005F4699" w:rsidP="003F60F1">
            <w:pPr>
              <w:pStyle w:val="a8"/>
              <w:spacing w:before="0" w:beforeAutospacing="0" w:after="0" w:afterAutospacing="0"/>
              <w:jc w:val="center"/>
              <w:rPr>
                <w:lang w:val="uk-UA"/>
              </w:rPr>
            </w:pPr>
            <w:r w:rsidRPr="00BA6C46">
              <w:rPr>
                <w:b/>
                <w:bCs/>
                <w:color w:val="000000"/>
                <w:lang w:val="uk-UA"/>
              </w:rPr>
              <w:t>Заклад</w:t>
            </w:r>
          </w:p>
        </w:tc>
        <w:tc>
          <w:tcPr>
            <w:tcW w:w="2013" w:type="dxa"/>
            <w:vAlign w:val="center"/>
          </w:tcPr>
          <w:p w:rsidR="005F4699" w:rsidRPr="00BA6C46" w:rsidRDefault="005F4699" w:rsidP="003F60F1">
            <w:pPr>
              <w:pStyle w:val="a8"/>
              <w:spacing w:before="0" w:beforeAutospacing="0" w:after="0" w:afterAutospacing="0"/>
              <w:jc w:val="center"/>
            </w:pPr>
            <w:r w:rsidRPr="00BA6C46">
              <w:rPr>
                <w:b/>
                <w:bCs/>
                <w:color w:val="000000"/>
              </w:rPr>
              <w:t>Адреса</w:t>
            </w:r>
            <w:bookmarkStart w:id="0" w:name="_GoBack"/>
            <w:bookmarkEnd w:id="0"/>
          </w:p>
        </w:tc>
        <w:tc>
          <w:tcPr>
            <w:tcW w:w="1843" w:type="dxa"/>
            <w:vAlign w:val="center"/>
          </w:tcPr>
          <w:p w:rsidR="005F4699" w:rsidRPr="00BA6C46" w:rsidRDefault="009F1B05" w:rsidP="003F60F1">
            <w:pPr>
              <w:pStyle w:val="a8"/>
              <w:spacing w:before="0" w:beforeAutospacing="0" w:after="0" w:afterAutospacing="0"/>
              <w:jc w:val="center"/>
              <w:rPr>
                <w:lang w:val="uk-UA"/>
              </w:rPr>
            </w:pPr>
            <w:r>
              <w:rPr>
                <w:b/>
                <w:bCs/>
                <w:color w:val="000000"/>
              </w:rPr>
              <w:t>Тип</w:t>
            </w:r>
            <w:r>
              <w:rPr>
                <w:b/>
                <w:bCs/>
                <w:color w:val="000000"/>
                <w:lang w:val="uk-UA"/>
              </w:rPr>
              <w:t xml:space="preserve"> </w:t>
            </w:r>
            <w:r w:rsidR="005F4699" w:rsidRPr="00BA6C46">
              <w:rPr>
                <w:b/>
                <w:bCs/>
                <w:color w:val="000000"/>
                <w:lang w:val="uk-UA"/>
              </w:rPr>
              <w:t>споруди цивільного захисту</w:t>
            </w:r>
          </w:p>
        </w:tc>
        <w:tc>
          <w:tcPr>
            <w:tcW w:w="1842" w:type="dxa"/>
          </w:tcPr>
          <w:p w:rsidR="005F4699" w:rsidRPr="00BA6C46" w:rsidRDefault="005F4699" w:rsidP="003F60F1">
            <w:pPr>
              <w:pStyle w:val="a8"/>
              <w:spacing w:before="0" w:beforeAutospacing="0" w:after="0" w:afterAutospacing="0"/>
              <w:jc w:val="center"/>
              <w:rPr>
                <w:b/>
                <w:bCs/>
                <w:color w:val="000000"/>
                <w:lang w:val="uk-UA"/>
              </w:rPr>
            </w:pPr>
            <w:r w:rsidRPr="00BA6C46">
              <w:rPr>
                <w:b/>
                <w:bCs/>
                <w:color w:val="000000"/>
                <w:lang w:val="uk-UA"/>
              </w:rPr>
              <w:t>Балансоутримувач</w:t>
            </w:r>
          </w:p>
        </w:tc>
        <w:tc>
          <w:tcPr>
            <w:tcW w:w="1134" w:type="dxa"/>
          </w:tcPr>
          <w:p w:rsidR="005F4699" w:rsidRDefault="005F4699" w:rsidP="003F60F1">
            <w:pPr>
              <w:pStyle w:val="a8"/>
              <w:spacing w:before="0" w:beforeAutospacing="0" w:after="0" w:afterAutospacing="0"/>
              <w:jc w:val="center"/>
              <w:rPr>
                <w:b/>
                <w:bCs/>
                <w:color w:val="000000"/>
                <w:lang w:val="uk-UA"/>
              </w:rPr>
            </w:pPr>
          </w:p>
          <w:p w:rsidR="005F4699" w:rsidRPr="00BA6C46" w:rsidRDefault="005F4699" w:rsidP="003F60F1">
            <w:pPr>
              <w:pStyle w:val="a8"/>
              <w:spacing w:before="0" w:beforeAutospacing="0" w:after="0" w:afterAutospacing="0"/>
              <w:jc w:val="center"/>
              <w:rPr>
                <w:b/>
                <w:bCs/>
                <w:color w:val="000000"/>
                <w:lang w:val="uk-UA"/>
              </w:rPr>
            </w:pPr>
            <w:r w:rsidRPr="00BA6C46">
              <w:rPr>
                <w:b/>
                <w:bCs/>
                <w:color w:val="000000"/>
                <w:lang w:val="uk-UA"/>
              </w:rPr>
              <w:t>Площа</w:t>
            </w:r>
          </w:p>
        </w:tc>
        <w:tc>
          <w:tcPr>
            <w:tcW w:w="993" w:type="dxa"/>
            <w:vAlign w:val="center"/>
          </w:tcPr>
          <w:p w:rsidR="005F4699" w:rsidRDefault="005F4699">
            <w:pPr>
              <w:pStyle w:val="a8"/>
              <w:spacing w:before="0" w:beforeAutospacing="0" w:after="0" w:afterAutospacing="0"/>
              <w:jc w:val="center"/>
            </w:pPr>
            <w:proofErr w:type="spellStart"/>
            <w:r>
              <w:rPr>
                <w:b/>
                <w:bCs/>
                <w:color w:val="000000"/>
              </w:rPr>
              <w:t>Місткість</w:t>
            </w:r>
            <w:proofErr w:type="spellEnd"/>
          </w:p>
        </w:tc>
      </w:tr>
      <w:tr w:rsidR="0016355C" w:rsidTr="0059286C">
        <w:tc>
          <w:tcPr>
            <w:tcW w:w="568" w:type="dxa"/>
            <w:vAlign w:val="center"/>
          </w:tcPr>
          <w:p w:rsidR="005F4699" w:rsidRPr="00292F07" w:rsidRDefault="00AC767C" w:rsidP="001C1354">
            <w:pPr>
              <w:pStyle w:val="a8"/>
              <w:spacing w:before="0" w:beforeAutospacing="0" w:after="0" w:afterAutospacing="0"/>
              <w:ind w:left="32"/>
              <w:jc w:val="center"/>
              <w:rPr>
                <w:color w:val="000000"/>
                <w:lang w:val="uk-UA"/>
              </w:rPr>
            </w:pPr>
            <w:r>
              <w:rPr>
                <w:color w:val="000000"/>
                <w:lang w:val="uk-UA"/>
              </w:rPr>
              <w:t>37.</w:t>
            </w:r>
          </w:p>
        </w:tc>
        <w:tc>
          <w:tcPr>
            <w:tcW w:w="1701" w:type="dxa"/>
            <w:vAlign w:val="center"/>
          </w:tcPr>
          <w:p w:rsidR="005F4699" w:rsidRPr="003805B2" w:rsidRDefault="00AC767C" w:rsidP="006F6EFB">
            <w:pPr>
              <w:pStyle w:val="a8"/>
              <w:spacing w:before="0" w:beforeAutospacing="0" w:after="0" w:afterAutospacing="0"/>
              <w:jc w:val="center"/>
              <w:rPr>
                <w:lang w:val="uk-UA"/>
              </w:rPr>
            </w:pPr>
            <w:r>
              <w:rPr>
                <w:lang w:val="uk-UA"/>
              </w:rPr>
              <w:t>Товариство з обмеженою відповідальністю  «Оператор газотранспортної системи України» Бердичівське лінійне виробниче управління магістральних газопроводів</w:t>
            </w:r>
            <w:r w:rsidR="00CE2932">
              <w:rPr>
                <w:lang w:val="uk-UA"/>
              </w:rPr>
              <w:t xml:space="preserve"> </w:t>
            </w:r>
          </w:p>
        </w:tc>
        <w:tc>
          <w:tcPr>
            <w:tcW w:w="2013" w:type="dxa"/>
            <w:vAlign w:val="center"/>
          </w:tcPr>
          <w:p w:rsidR="005F4699" w:rsidRPr="00CF2DC6" w:rsidRDefault="00DF6B74" w:rsidP="00CF2DC6">
            <w:pPr>
              <w:pStyle w:val="a3"/>
              <w:ind w:right="108" w:firstLine="0"/>
              <w:jc w:val="center"/>
              <w:rPr>
                <w:lang w:val="uk-UA"/>
              </w:rPr>
            </w:pPr>
            <w:r>
              <w:rPr>
                <w:sz w:val="24"/>
                <w:lang w:val="uk-UA"/>
              </w:rPr>
              <w:t xml:space="preserve">вул. </w:t>
            </w:r>
            <w:r w:rsidR="00AC767C">
              <w:rPr>
                <w:sz w:val="24"/>
                <w:lang w:val="uk-UA"/>
              </w:rPr>
              <w:t>Коростенська</w:t>
            </w:r>
            <w:r>
              <w:rPr>
                <w:sz w:val="24"/>
                <w:lang w:val="uk-UA"/>
              </w:rPr>
              <w:t>, 1</w:t>
            </w:r>
            <w:r w:rsidR="005F4699" w:rsidRPr="00F92BD0">
              <w:rPr>
                <w:sz w:val="24"/>
                <w:lang w:val="uk-UA"/>
              </w:rPr>
              <w:t xml:space="preserve"> </w:t>
            </w:r>
            <w:r w:rsidR="00CF2DC6">
              <w:rPr>
                <w:sz w:val="24"/>
                <w:lang w:val="uk-UA"/>
              </w:rPr>
              <w:t>м. Звягель</w:t>
            </w:r>
            <w:r w:rsidR="0016355C" w:rsidRPr="00CF2DC6">
              <w:rPr>
                <w:lang w:val="uk-UA"/>
              </w:rPr>
              <w:t>,</w:t>
            </w:r>
          </w:p>
          <w:p w:rsidR="005F4699" w:rsidRDefault="005F4699" w:rsidP="003F60F1">
            <w:pPr>
              <w:jc w:val="center"/>
            </w:pPr>
            <w:r w:rsidRPr="00666298">
              <w:t>Житомирська область</w:t>
            </w:r>
          </w:p>
          <w:p w:rsidR="005F4699" w:rsidRPr="003805B2" w:rsidRDefault="005F4699" w:rsidP="003F60F1">
            <w:pPr>
              <w:pStyle w:val="a3"/>
              <w:ind w:right="108" w:firstLine="0"/>
              <w:jc w:val="center"/>
              <w:rPr>
                <w:sz w:val="24"/>
                <w:lang w:val="uk-UA"/>
              </w:rPr>
            </w:pPr>
            <w:r w:rsidRPr="00CF2DC6">
              <w:rPr>
                <w:sz w:val="24"/>
                <w:lang w:val="uk-UA"/>
              </w:rPr>
              <w:t>11700</w:t>
            </w:r>
          </w:p>
        </w:tc>
        <w:tc>
          <w:tcPr>
            <w:tcW w:w="1843" w:type="dxa"/>
            <w:vAlign w:val="center"/>
          </w:tcPr>
          <w:p w:rsidR="005F4699" w:rsidRPr="003805B2" w:rsidRDefault="00AC767C" w:rsidP="003F60F1">
            <w:pPr>
              <w:pStyle w:val="a8"/>
              <w:spacing w:before="0" w:beforeAutospacing="0" w:after="0" w:afterAutospacing="0"/>
              <w:jc w:val="center"/>
              <w:rPr>
                <w:lang w:val="uk-UA"/>
              </w:rPr>
            </w:pPr>
            <w:r>
              <w:rPr>
                <w:lang w:val="uk-UA"/>
              </w:rPr>
              <w:t>Найпростіше укриття</w:t>
            </w:r>
          </w:p>
        </w:tc>
        <w:tc>
          <w:tcPr>
            <w:tcW w:w="1842" w:type="dxa"/>
            <w:vAlign w:val="center"/>
          </w:tcPr>
          <w:p w:rsidR="005F4699" w:rsidRPr="003805B2" w:rsidRDefault="00AC767C" w:rsidP="003F60F1">
            <w:pPr>
              <w:pStyle w:val="a8"/>
              <w:spacing w:before="0" w:beforeAutospacing="0" w:after="0" w:afterAutospacing="0"/>
              <w:jc w:val="center"/>
              <w:rPr>
                <w:lang w:val="uk-UA"/>
              </w:rPr>
            </w:pPr>
            <w:r>
              <w:rPr>
                <w:lang w:val="uk-UA"/>
              </w:rPr>
              <w:t>Товариство з обмеженою відповідальністю  «Оператор газотранспортної системи України» Бердичівське лінійне виробниче управління магістральних газопроводів</w:t>
            </w:r>
          </w:p>
        </w:tc>
        <w:tc>
          <w:tcPr>
            <w:tcW w:w="1134" w:type="dxa"/>
          </w:tcPr>
          <w:p w:rsidR="005F4699" w:rsidRPr="003805B2" w:rsidRDefault="00AC767C" w:rsidP="00CF2DC6">
            <w:pPr>
              <w:pStyle w:val="a8"/>
              <w:spacing w:before="0" w:beforeAutospacing="0" w:after="0" w:afterAutospacing="0"/>
              <w:rPr>
                <w:color w:val="000000"/>
                <w:lang w:val="uk-UA"/>
              </w:rPr>
            </w:pPr>
            <w:r>
              <w:rPr>
                <w:color w:val="000000"/>
                <w:lang w:val="uk-UA"/>
              </w:rPr>
              <w:t>40,69</w:t>
            </w:r>
            <w:r w:rsidR="005F4699" w:rsidRPr="000B4040">
              <w:rPr>
                <w:color w:val="000000"/>
                <w:lang w:val="uk-UA"/>
              </w:rPr>
              <w:t>м</w:t>
            </w:r>
            <w:r w:rsidR="005F4699" w:rsidRPr="000B4040">
              <w:rPr>
                <w:color w:val="000000"/>
                <w:vertAlign w:val="superscript"/>
                <w:lang w:val="uk-UA"/>
              </w:rPr>
              <w:t>2</w:t>
            </w:r>
          </w:p>
        </w:tc>
        <w:tc>
          <w:tcPr>
            <w:tcW w:w="993" w:type="dxa"/>
            <w:vAlign w:val="center"/>
          </w:tcPr>
          <w:p w:rsidR="005F4699" w:rsidRDefault="00AC767C" w:rsidP="00D25216">
            <w:pPr>
              <w:pStyle w:val="a8"/>
              <w:spacing w:before="0" w:beforeAutospacing="0" w:after="0" w:afterAutospacing="0"/>
              <w:jc w:val="center"/>
              <w:rPr>
                <w:color w:val="000000"/>
                <w:lang w:val="uk-UA"/>
              </w:rPr>
            </w:pPr>
            <w:r>
              <w:rPr>
                <w:color w:val="000000"/>
                <w:lang w:val="uk-UA"/>
              </w:rPr>
              <w:t>35</w:t>
            </w:r>
          </w:p>
        </w:tc>
      </w:tr>
    </w:tbl>
    <w:p w:rsidR="008678E3" w:rsidRPr="0059286C" w:rsidRDefault="008678E3" w:rsidP="00DF6B74">
      <w:pPr>
        <w:tabs>
          <w:tab w:val="left" w:pos="4536"/>
        </w:tabs>
        <w:ind w:right="-142"/>
        <w:jc w:val="both"/>
        <w:rPr>
          <w:sz w:val="16"/>
          <w:szCs w:val="16"/>
        </w:rPr>
      </w:pPr>
    </w:p>
    <w:p w:rsidR="00DA4318" w:rsidRDefault="0059286C" w:rsidP="00BA6C46">
      <w:pPr>
        <w:ind w:right="-142" w:firstLine="709"/>
        <w:jc w:val="both"/>
        <w:rPr>
          <w:sz w:val="28"/>
          <w:szCs w:val="28"/>
        </w:rPr>
      </w:pPr>
      <w:r>
        <w:rPr>
          <w:sz w:val="28"/>
          <w:szCs w:val="28"/>
        </w:rPr>
        <w:t>2</w:t>
      </w:r>
      <w:r w:rsidR="00DA4318" w:rsidRPr="00246402">
        <w:rPr>
          <w:sz w:val="28"/>
          <w:szCs w:val="28"/>
        </w:rPr>
        <w:t xml:space="preserve">. Контроль за виконанням </w:t>
      </w:r>
      <w:r w:rsidR="00DE5018">
        <w:rPr>
          <w:sz w:val="28"/>
          <w:szCs w:val="28"/>
        </w:rPr>
        <w:t>цього</w:t>
      </w:r>
      <w:r w:rsidR="00DA4318" w:rsidRPr="00246402">
        <w:rPr>
          <w:sz w:val="28"/>
          <w:szCs w:val="28"/>
        </w:rPr>
        <w:t xml:space="preserve"> рішення покласти</w:t>
      </w:r>
      <w:r w:rsidR="00771D93">
        <w:rPr>
          <w:sz w:val="28"/>
          <w:szCs w:val="28"/>
        </w:rPr>
        <w:t xml:space="preserve"> на </w:t>
      </w:r>
      <w:r w:rsidR="00AC767C">
        <w:rPr>
          <w:sz w:val="28"/>
          <w:szCs w:val="28"/>
        </w:rPr>
        <w:t xml:space="preserve">керуючого справами виконавчого комітету міської ради Долю О.П. </w:t>
      </w:r>
    </w:p>
    <w:p w:rsidR="00D25216" w:rsidRPr="0059286C" w:rsidRDefault="00D25216" w:rsidP="00BA6C46">
      <w:pPr>
        <w:ind w:right="-142"/>
        <w:jc w:val="both"/>
        <w:rPr>
          <w:sz w:val="16"/>
          <w:szCs w:val="16"/>
        </w:rPr>
      </w:pPr>
    </w:p>
    <w:p w:rsidR="00E77D29" w:rsidRPr="00BA6C46" w:rsidRDefault="00DA4318" w:rsidP="00BA6C46">
      <w:pPr>
        <w:ind w:right="-142"/>
        <w:jc w:val="both"/>
        <w:rPr>
          <w:sz w:val="28"/>
          <w:szCs w:val="28"/>
        </w:rPr>
      </w:pPr>
      <w:r>
        <w:rPr>
          <w:sz w:val="28"/>
          <w:szCs w:val="28"/>
        </w:rPr>
        <w:t xml:space="preserve">Міський голова                                                          </w:t>
      </w:r>
      <w:r w:rsidR="00DF6B74">
        <w:rPr>
          <w:sz w:val="28"/>
          <w:szCs w:val="28"/>
        </w:rPr>
        <w:t xml:space="preserve">    </w:t>
      </w:r>
      <w:r>
        <w:rPr>
          <w:sz w:val="28"/>
          <w:szCs w:val="28"/>
        </w:rPr>
        <w:t xml:space="preserve">                 Микола БОРОВЕЦЬ</w:t>
      </w:r>
    </w:p>
    <w:sectPr w:rsidR="00E77D29" w:rsidRPr="00BA6C46" w:rsidSect="002A05FA">
      <w:pgSz w:w="11906" w:h="16838"/>
      <w:pgMar w:top="568"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00E47"/>
    <w:rsid w:val="000267BE"/>
    <w:rsid w:val="000411CC"/>
    <w:rsid w:val="000B4F25"/>
    <w:rsid w:val="00126736"/>
    <w:rsid w:val="0016355C"/>
    <w:rsid w:val="001969B1"/>
    <w:rsid w:val="001C1354"/>
    <w:rsid w:val="00235383"/>
    <w:rsid w:val="002A05FA"/>
    <w:rsid w:val="002E1E3C"/>
    <w:rsid w:val="002E37D1"/>
    <w:rsid w:val="002E4232"/>
    <w:rsid w:val="00326E24"/>
    <w:rsid w:val="00390829"/>
    <w:rsid w:val="00446F26"/>
    <w:rsid w:val="004E7CCF"/>
    <w:rsid w:val="00517DAE"/>
    <w:rsid w:val="0059286C"/>
    <w:rsid w:val="005F4699"/>
    <w:rsid w:val="006810AD"/>
    <w:rsid w:val="006B4450"/>
    <w:rsid w:val="006C6210"/>
    <w:rsid w:val="006F656F"/>
    <w:rsid w:val="006F6EFB"/>
    <w:rsid w:val="00771D93"/>
    <w:rsid w:val="007A4CB6"/>
    <w:rsid w:val="008678E3"/>
    <w:rsid w:val="008A527E"/>
    <w:rsid w:val="008F1FFE"/>
    <w:rsid w:val="0096076C"/>
    <w:rsid w:val="009E3EB2"/>
    <w:rsid w:val="009F1B05"/>
    <w:rsid w:val="00A71F8D"/>
    <w:rsid w:val="00AC767C"/>
    <w:rsid w:val="00AD2389"/>
    <w:rsid w:val="00AE4E56"/>
    <w:rsid w:val="00B06A88"/>
    <w:rsid w:val="00B74936"/>
    <w:rsid w:val="00BA6C46"/>
    <w:rsid w:val="00BE6410"/>
    <w:rsid w:val="00CE2932"/>
    <w:rsid w:val="00CF2DC6"/>
    <w:rsid w:val="00CF2E90"/>
    <w:rsid w:val="00D23A17"/>
    <w:rsid w:val="00D25216"/>
    <w:rsid w:val="00D542B4"/>
    <w:rsid w:val="00DA4318"/>
    <w:rsid w:val="00DE5018"/>
    <w:rsid w:val="00DF6B74"/>
    <w:rsid w:val="00DF76C6"/>
    <w:rsid w:val="00E465A2"/>
    <w:rsid w:val="00E72187"/>
    <w:rsid w:val="00E77D29"/>
    <w:rsid w:val="00F071F3"/>
    <w:rsid w:val="00F922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4CB7"/>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9DE6C-6CF1-46B7-9C9B-2AEEB834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Пользователь Windows</cp:lastModifiedBy>
  <cp:revision>5</cp:revision>
  <cp:lastPrinted>2024-02-27T15:33:00Z</cp:lastPrinted>
  <dcterms:created xsi:type="dcterms:W3CDTF">2024-02-27T14:27:00Z</dcterms:created>
  <dcterms:modified xsi:type="dcterms:W3CDTF">2024-02-28T09:47:00Z</dcterms:modified>
</cp:coreProperties>
</file>