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9" w:rsidRPr="000868B9" w:rsidRDefault="000868B9" w:rsidP="000868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868B9" w:rsidRPr="000868B9" w:rsidRDefault="000868B9" w:rsidP="000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A82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 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 w:rsidR="00902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ED0C04" w:rsidRPr="008D51C1" w:rsidTr="00246DEA">
        <w:trPr>
          <w:trHeight w:val="996"/>
        </w:trPr>
        <w:tc>
          <w:tcPr>
            <w:tcW w:w="5477" w:type="dxa"/>
            <w:hideMark/>
          </w:tcPr>
          <w:p w:rsidR="00ED0C04" w:rsidRPr="008D51C1" w:rsidRDefault="00ED0C04" w:rsidP="003C0206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r w:rsidR="00BC6335"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r w:rsidR="003C020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водоканал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375F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 2023 рік</w:t>
            </w:r>
          </w:p>
        </w:tc>
      </w:tr>
    </w:tbl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ED0C04" w:rsidRPr="00BF4497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Звіт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C633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BC6335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Звягельської міської ради «Звягель</w:t>
      </w:r>
      <w:r w:rsidR="005D49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водоканал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D375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2023 рік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уваги.</w:t>
      </w: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</w:t>
      </w:r>
      <w:r w:rsidR="00461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згідно розподілу обов</w:t>
      </w:r>
      <w:r w:rsidR="00461598" w:rsidRPr="00461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461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язків.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="001103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Микола БОРОВЕЦЬ</w:t>
      </w:r>
    </w:p>
    <w:p w:rsidR="00ED0C04" w:rsidRDefault="00ED0C04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495997">
      <w:pPr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CC3223" w:rsidRDefault="00CC3223" w:rsidP="00495997">
      <w:pPr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  <w:bookmarkStart w:id="0" w:name="_GoBack"/>
      <w:bookmarkEnd w:id="0"/>
    </w:p>
    <w:p w:rsidR="001C3727" w:rsidRPr="00110311" w:rsidRDefault="001C3727" w:rsidP="001C3727">
      <w:pPr>
        <w:pStyle w:val="5"/>
        <w:rPr>
          <w:rFonts w:ascii="Times New Roman" w:hAnsi="Times New Roman"/>
          <w:sz w:val="24"/>
          <w:szCs w:val="24"/>
          <w:u w:val="none"/>
          <w:lang w:val="uk-UA"/>
        </w:rPr>
      </w:pPr>
      <w:r w:rsidRPr="00110311">
        <w:rPr>
          <w:rFonts w:ascii="Times New Roman" w:hAnsi="Times New Roman"/>
          <w:sz w:val="24"/>
          <w:szCs w:val="24"/>
          <w:u w:val="none"/>
          <w:lang w:val="uk-UA"/>
        </w:rPr>
        <w:lastRenderedPageBreak/>
        <w:t>ЗВІТ</w:t>
      </w:r>
    </w:p>
    <w:p w:rsidR="001C3727" w:rsidRPr="00110311" w:rsidRDefault="001C3727" w:rsidP="001C3727">
      <w:pPr>
        <w:pStyle w:val="5"/>
        <w:rPr>
          <w:rFonts w:ascii="Times New Roman" w:hAnsi="Times New Roman"/>
          <w:sz w:val="24"/>
          <w:szCs w:val="24"/>
          <w:u w:val="none"/>
        </w:rPr>
      </w:pPr>
      <w:r w:rsidRPr="00110311">
        <w:rPr>
          <w:rFonts w:ascii="Times New Roman" w:hAnsi="Times New Roman"/>
          <w:sz w:val="24"/>
          <w:szCs w:val="24"/>
          <w:u w:val="none"/>
          <w:lang w:val="uk-UA"/>
        </w:rPr>
        <w:t xml:space="preserve">про фінансово-господарську </w:t>
      </w:r>
      <w:proofErr w:type="spellStart"/>
      <w:r w:rsidRPr="00110311">
        <w:rPr>
          <w:rFonts w:ascii="Times New Roman" w:hAnsi="Times New Roman"/>
          <w:sz w:val="24"/>
          <w:szCs w:val="24"/>
          <w:u w:val="none"/>
          <w:lang w:val="uk-UA"/>
        </w:rPr>
        <w:t>діяльность</w:t>
      </w:r>
      <w:proofErr w:type="spellEnd"/>
      <w:r w:rsidRPr="00110311">
        <w:rPr>
          <w:rFonts w:ascii="Times New Roman" w:hAnsi="Times New Roman"/>
          <w:sz w:val="24"/>
          <w:szCs w:val="24"/>
          <w:u w:val="none"/>
          <w:lang w:val="uk-UA"/>
        </w:rPr>
        <w:t xml:space="preserve"> </w:t>
      </w:r>
      <w:r w:rsidRPr="00110311">
        <w:rPr>
          <w:rFonts w:ascii="Times New Roman" w:hAnsi="Times New Roman"/>
          <w:sz w:val="24"/>
          <w:szCs w:val="24"/>
          <w:u w:val="none"/>
        </w:rPr>
        <w:t>КП ЗМР «Звягель</w:t>
      </w:r>
      <w:r w:rsidR="003C0206" w:rsidRPr="00110311">
        <w:rPr>
          <w:rFonts w:ascii="Times New Roman" w:hAnsi="Times New Roman"/>
          <w:sz w:val="24"/>
          <w:szCs w:val="24"/>
          <w:u w:val="none"/>
          <w:lang w:val="uk-UA"/>
        </w:rPr>
        <w:t>водоканал</w:t>
      </w:r>
      <w:r w:rsidRPr="00110311">
        <w:rPr>
          <w:rFonts w:ascii="Times New Roman" w:hAnsi="Times New Roman"/>
          <w:sz w:val="24"/>
          <w:szCs w:val="24"/>
          <w:u w:val="none"/>
        </w:rPr>
        <w:t xml:space="preserve">» </w:t>
      </w:r>
    </w:p>
    <w:p w:rsidR="00495997" w:rsidRPr="00110311" w:rsidRDefault="001C3727" w:rsidP="0049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311">
        <w:rPr>
          <w:rFonts w:ascii="Times New Roman" w:hAnsi="Times New Roman" w:cs="Times New Roman"/>
          <w:b/>
          <w:sz w:val="24"/>
          <w:szCs w:val="24"/>
        </w:rPr>
        <w:t>за 202</w:t>
      </w:r>
      <w:r w:rsidR="00A82A73" w:rsidRPr="0011031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10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495997" w:rsidRDefault="00495997" w:rsidP="004959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997" w:rsidRPr="00110311" w:rsidRDefault="00495997" w:rsidP="0049599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1031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 підприємство  Звягельської  МР   « ЗВЯГЕЛЬВОДОКАНАЛ» засноване в 1935-1937 роках і є стратегічно важливим підприємством територіальної громади. Від належного забезпечення </w:t>
      </w:r>
      <w:r w:rsidRPr="001103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 ним власних статутних завдань залежить загальна соціально-економічна ситуація в громаді.</w:t>
      </w:r>
    </w:p>
    <w:p w:rsidR="00495997" w:rsidRPr="00110311" w:rsidRDefault="00495997" w:rsidP="0049599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03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r w:rsidRPr="00110311">
        <w:rPr>
          <w:rFonts w:ascii="Times New Roman" w:hAnsi="Times New Roman" w:cs="Times New Roman"/>
          <w:sz w:val="24"/>
          <w:szCs w:val="24"/>
          <w:lang w:val="uk-UA"/>
        </w:rPr>
        <w:t xml:space="preserve">  Середньооблікова кількість  працівників на підприємстві  станом за 2023р. становить  182 чол., в тому числі керівники, спеціалісти та службовці- 29 </w:t>
      </w:r>
      <w:proofErr w:type="spellStart"/>
      <w:r w:rsidRPr="00110311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110311">
        <w:rPr>
          <w:rFonts w:ascii="Times New Roman" w:hAnsi="Times New Roman" w:cs="Times New Roman"/>
          <w:sz w:val="24"/>
          <w:szCs w:val="24"/>
          <w:lang w:val="uk-UA"/>
        </w:rPr>
        <w:t>., які взаємозв'язані між собою через виробничі підрозділи та забезпечують безперебійне централізоване водопостачання та централізоване водовідведення.</w:t>
      </w:r>
      <w:r w:rsidRPr="001103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Середньомісячна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заробітна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плата </w:t>
      </w:r>
      <w:proofErr w:type="spellStart"/>
      <w:r w:rsidRPr="00110311">
        <w:rPr>
          <w:rFonts w:ascii="Times New Roman" w:hAnsi="Times New Roman"/>
          <w:sz w:val="24"/>
          <w:szCs w:val="24"/>
        </w:rPr>
        <w:t>штатних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за 2023 р. 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Складає</w:t>
      </w:r>
      <w:proofErr w:type="spellEnd"/>
      <w:r w:rsidRPr="001103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0311">
        <w:rPr>
          <w:rFonts w:ascii="Times New Roman" w:hAnsi="Times New Roman"/>
          <w:sz w:val="24"/>
          <w:szCs w:val="24"/>
        </w:rPr>
        <w:t xml:space="preserve"> 12582</w:t>
      </w:r>
      <w:proofErr w:type="gramEnd"/>
      <w:r w:rsidRPr="00110311">
        <w:rPr>
          <w:rFonts w:ascii="Times New Roman" w:hAnsi="Times New Roman"/>
          <w:sz w:val="24"/>
          <w:szCs w:val="24"/>
        </w:rPr>
        <w:t xml:space="preserve"> грн.</w:t>
      </w:r>
    </w:p>
    <w:p w:rsidR="00495997" w:rsidRPr="00110311" w:rsidRDefault="00495997" w:rsidP="0049599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0311">
        <w:rPr>
          <w:rFonts w:ascii="Times New Roman" w:hAnsi="Times New Roman"/>
          <w:sz w:val="24"/>
          <w:szCs w:val="24"/>
        </w:rPr>
        <w:t xml:space="preserve">План по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централізованого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виконано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100,2% при </w:t>
      </w:r>
      <w:proofErr w:type="spellStart"/>
      <w:r w:rsidRPr="00110311">
        <w:rPr>
          <w:rFonts w:ascii="Times New Roman" w:hAnsi="Times New Roman"/>
          <w:sz w:val="24"/>
          <w:szCs w:val="24"/>
        </w:rPr>
        <w:t>плані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1356,9 </w:t>
      </w:r>
      <w:proofErr w:type="gramStart"/>
      <w:r w:rsidRPr="00110311">
        <w:rPr>
          <w:rFonts w:ascii="Times New Roman" w:hAnsi="Times New Roman"/>
          <w:sz w:val="24"/>
          <w:szCs w:val="24"/>
        </w:rPr>
        <w:t>тис.м</w:t>
      </w:r>
      <w:proofErr w:type="gramEnd"/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 w:rsidRPr="00110311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реалізовано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1359,7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311">
        <w:rPr>
          <w:rFonts w:ascii="Times New Roman" w:hAnsi="Times New Roman"/>
          <w:sz w:val="24"/>
          <w:szCs w:val="24"/>
        </w:rPr>
        <w:t>Порівняно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з 2022 роком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водоп</w:t>
      </w:r>
      <w:proofErr w:type="spellEnd"/>
      <w:r w:rsidRPr="00110311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110311">
        <w:rPr>
          <w:rFonts w:ascii="Times New Roman" w:hAnsi="Times New Roman"/>
          <w:sz w:val="24"/>
          <w:szCs w:val="24"/>
        </w:rPr>
        <w:t>стачання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збільшилася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102,4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, в тому </w:t>
      </w:r>
      <w:proofErr w:type="spellStart"/>
      <w:r w:rsidRPr="00110311">
        <w:rPr>
          <w:rFonts w:ascii="Times New Roman" w:hAnsi="Times New Roman"/>
          <w:sz w:val="24"/>
          <w:szCs w:val="24"/>
        </w:rPr>
        <w:t>числі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10311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збільшилася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98,5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110311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установам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1,3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3. </w:t>
      </w:r>
      <w:r w:rsidRPr="00110311">
        <w:rPr>
          <w:rFonts w:ascii="Times New Roman" w:hAnsi="Times New Roman"/>
          <w:sz w:val="24"/>
          <w:szCs w:val="24"/>
        </w:rPr>
        <w:t xml:space="preserve">; по </w:t>
      </w:r>
      <w:proofErr w:type="spellStart"/>
      <w:r w:rsidRPr="00110311">
        <w:rPr>
          <w:rFonts w:ascii="Times New Roman" w:hAnsi="Times New Roman"/>
          <w:sz w:val="24"/>
          <w:szCs w:val="24"/>
        </w:rPr>
        <w:t>іншим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споживачам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на 2,6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95997" w:rsidRPr="00110311" w:rsidRDefault="00495997" w:rsidP="0049599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311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абонентів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централізованого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по  </w:t>
      </w:r>
      <w:proofErr w:type="spellStart"/>
      <w:r w:rsidRPr="00110311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 становить 18025, з них-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абонентів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з </w:t>
      </w:r>
      <w:proofErr w:type="spellStart"/>
      <w:r w:rsidRPr="00110311">
        <w:rPr>
          <w:rFonts w:ascii="Times New Roman" w:hAnsi="Times New Roman"/>
          <w:sz w:val="24"/>
          <w:szCs w:val="24"/>
        </w:rPr>
        <w:t>приладами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обліку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- 17257, а  без </w:t>
      </w:r>
      <w:proofErr w:type="spellStart"/>
      <w:r w:rsidRPr="00110311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обліку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- 846.  </w:t>
      </w:r>
      <w:proofErr w:type="spellStart"/>
      <w:r w:rsidRPr="00110311">
        <w:rPr>
          <w:rFonts w:ascii="Times New Roman" w:hAnsi="Times New Roman"/>
          <w:sz w:val="24"/>
          <w:szCs w:val="24"/>
        </w:rPr>
        <w:t>Місячне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фактичне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311">
        <w:rPr>
          <w:rFonts w:ascii="Times New Roman" w:hAnsi="Times New Roman"/>
          <w:sz w:val="24"/>
          <w:szCs w:val="24"/>
        </w:rPr>
        <w:t>води  на</w:t>
      </w:r>
      <w:proofErr w:type="gramEnd"/>
      <w:r w:rsidRPr="0011031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10311">
        <w:rPr>
          <w:rFonts w:ascii="Times New Roman" w:hAnsi="Times New Roman"/>
          <w:sz w:val="24"/>
          <w:szCs w:val="24"/>
        </w:rPr>
        <w:t>мешканця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становить   2,03   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, в т.ч. на одного </w:t>
      </w:r>
      <w:proofErr w:type="spellStart"/>
      <w:r w:rsidRPr="00110311">
        <w:rPr>
          <w:rFonts w:ascii="Times New Roman" w:hAnsi="Times New Roman"/>
          <w:sz w:val="24"/>
          <w:szCs w:val="24"/>
        </w:rPr>
        <w:t>мешканця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10311">
        <w:rPr>
          <w:rFonts w:ascii="Times New Roman" w:hAnsi="Times New Roman"/>
          <w:sz w:val="24"/>
          <w:szCs w:val="24"/>
        </w:rPr>
        <w:t>лічильником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–  1,93 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>.; без лічильника-4,9 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  </w:t>
      </w:r>
    </w:p>
    <w:p w:rsidR="00495997" w:rsidRPr="00110311" w:rsidRDefault="00495997" w:rsidP="00495997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11031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10311">
        <w:rPr>
          <w:rFonts w:ascii="Times New Roman" w:hAnsi="Times New Roman"/>
          <w:sz w:val="24"/>
          <w:szCs w:val="24"/>
        </w:rPr>
        <w:t>План  по</w:t>
      </w:r>
      <w:proofErr w:type="gramEnd"/>
      <w:r w:rsidRPr="00110311">
        <w:rPr>
          <w:rFonts w:ascii="Times New Roman" w:hAnsi="Times New Roman"/>
          <w:sz w:val="24"/>
          <w:szCs w:val="24"/>
        </w:rPr>
        <w:t xml:space="preserve">  доходах </w:t>
      </w:r>
      <w:proofErr w:type="spellStart"/>
      <w:r w:rsidRPr="00110311">
        <w:rPr>
          <w:rFonts w:ascii="Times New Roman" w:hAnsi="Times New Roman"/>
          <w:sz w:val="24"/>
          <w:szCs w:val="24"/>
        </w:rPr>
        <w:t>від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основної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10311">
        <w:rPr>
          <w:rFonts w:ascii="Times New Roman" w:hAnsi="Times New Roman"/>
          <w:sz w:val="24"/>
          <w:szCs w:val="24"/>
          <w:lang w:val="uk-UA"/>
        </w:rPr>
        <w:t xml:space="preserve"> (централізоване водопостачання та водовідведення)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виконано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10</w:t>
      </w:r>
      <w:r w:rsidRPr="00110311">
        <w:rPr>
          <w:rFonts w:ascii="Times New Roman" w:hAnsi="Times New Roman"/>
          <w:sz w:val="24"/>
          <w:szCs w:val="24"/>
          <w:lang w:val="uk-UA"/>
        </w:rPr>
        <w:t>3</w:t>
      </w:r>
      <w:r w:rsidRPr="00110311">
        <w:rPr>
          <w:rFonts w:ascii="Times New Roman" w:hAnsi="Times New Roman"/>
          <w:sz w:val="24"/>
          <w:szCs w:val="24"/>
        </w:rPr>
        <w:t>,0 %</w:t>
      </w:r>
      <w:r w:rsidRPr="00110311">
        <w:rPr>
          <w:rFonts w:ascii="Times New Roman" w:hAnsi="Times New Roman"/>
          <w:sz w:val="24"/>
          <w:szCs w:val="24"/>
          <w:lang w:val="uk-UA"/>
        </w:rPr>
        <w:t xml:space="preserve"> , в сумі доходів більше нараховано на 1374,8 </w:t>
      </w:r>
      <w:proofErr w:type="spellStart"/>
      <w:r w:rsidRPr="00110311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110311">
        <w:rPr>
          <w:rFonts w:ascii="Times New Roman" w:hAnsi="Times New Roman"/>
          <w:sz w:val="24"/>
          <w:szCs w:val="24"/>
          <w:lang w:val="uk-UA"/>
        </w:rPr>
        <w:t>.</w:t>
      </w:r>
      <w:r w:rsidRPr="00110311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110311">
        <w:rPr>
          <w:rFonts w:ascii="Times New Roman" w:hAnsi="Times New Roman"/>
          <w:sz w:val="24"/>
          <w:szCs w:val="24"/>
        </w:rPr>
        <w:t>плані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4</w:t>
      </w:r>
      <w:r w:rsidRPr="00110311">
        <w:rPr>
          <w:rFonts w:ascii="Times New Roman" w:hAnsi="Times New Roman"/>
          <w:sz w:val="24"/>
          <w:szCs w:val="24"/>
          <w:lang w:val="uk-UA"/>
        </w:rPr>
        <w:t>6220,5</w:t>
      </w:r>
      <w:r w:rsidRPr="00110311">
        <w:rPr>
          <w:rFonts w:ascii="Times New Roman" w:hAnsi="Times New Roman"/>
          <w:sz w:val="24"/>
          <w:szCs w:val="24"/>
        </w:rPr>
        <w:t xml:space="preserve"> тис. грн. </w:t>
      </w:r>
      <w:proofErr w:type="spellStart"/>
      <w:r w:rsidRPr="00110311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нараховано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r w:rsidRPr="00110311">
        <w:rPr>
          <w:rFonts w:ascii="Times New Roman" w:hAnsi="Times New Roman"/>
          <w:sz w:val="24"/>
          <w:szCs w:val="24"/>
          <w:lang w:val="uk-UA"/>
        </w:rPr>
        <w:t>47595,3</w:t>
      </w:r>
      <w:r w:rsidRPr="00110311">
        <w:rPr>
          <w:rFonts w:ascii="Times New Roman" w:hAnsi="Times New Roman"/>
          <w:sz w:val="24"/>
          <w:szCs w:val="24"/>
        </w:rPr>
        <w:t xml:space="preserve"> тис. грн.</w:t>
      </w:r>
      <w:r w:rsidRPr="001103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r w:rsidRPr="00110311">
        <w:rPr>
          <w:rFonts w:ascii="Times New Roman" w:hAnsi="Times New Roman"/>
          <w:sz w:val="24"/>
          <w:szCs w:val="24"/>
          <w:lang w:val="uk-UA"/>
        </w:rPr>
        <w:t xml:space="preserve">В тому числі доходи по централізованому водопостачанню збільшені на 358,9 </w:t>
      </w:r>
      <w:proofErr w:type="spellStart"/>
      <w:r w:rsidRPr="00110311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110311">
        <w:rPr>
          <w:rFonts w:ascii="Times New Roman" w:hAnsi="Times New Roman"/>
          <w:sz w:val="24"/>
          <w:szCs w:val="24"/>
          <w:lang w:val="uk-UA"/>
        </w:rPr>
        <w:t xml:space="preserve">. або на 1,6 % ; по  водовідведенню на 1015,9 </w:t>
      </w:r>
      <w:proofErr w:type="spellStart"/>
      <w:r w:rsidRPr="00110311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110311">
        <w:rPr>
          <w:rFonts w:ascii="Times New Roman" w:hAnsi="Times New Roman"/>
          <w:sz w:val="24"/>
          <w:szCs w:val="24"/>
          <w:lang w:val="uk-UA"/>
        </w:rPr>
        <w:t>. або на 4,4%</w:t>
      </w:r>
    </w:p>
    <w:p w:rsidR="00495997" w:rsidRPr="00110311" w:rsidRDefault="00495997" w:rsidP="00495997">
      <w:pPr>
        <w:jc w:val="both"/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sz w:val="24"/>
          <w:szCs w:val="24"/>
        </w:rPr>
        <w:t xml:space="preserve">         Тариф, по </w:t>
      </w:r>
      <w:proofErr w:type="spellStart"/>
      <w:r w:rsidRPr="00110311">
        <w:rPr>
          <w:rFonts w:ascii="Times New Roman" w:hAnsi="Times New Roman"/>
          <w:sz w:val="24"/>
          <w:szCs w:val="24"/>
        </w:rPr>
        <w:t>якому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нараховувалися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доходи </w:t>
      </w:r>
      <w:proofErr w:type="spellStart"/>
      <w:r w:rsidRPr="00110311">
        <w:rPr>
          <w:rFonts w:ascii="Times New Roman" w:hAnsi="Times New Roman"/>
          <w:sz w:val="24"/>
          <w:szCs w:val="24"/>
        </w:rPr>
        <w:t>від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основної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у 2023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році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відшкодовував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собівартість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10311">
        <w:rPr>
          <w:rFonts w:ascii="Times New Roman" w:hAnsi="Times New Roman"/>
          <w:sz w:val="24"/>
          <w:szCs w:val="24"/>
        </w:rPr>
        <w:t>централізованому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водопостачанню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67,2 %, по  </w:t>
      </w:r>
      <w:proofErr w:type="spellStart"/>
      <w:r w:rsidRPr="00110311">
        <w:rPr>
          <w:rFonts w:ascii="Times New Roman" w:hAnsi="Times New Roman"/>
          <w:sz w:val="24"/>
          <w:szCs w:val="24"/>
        </w:rPr>
        <w:t>централізованому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водовідведенню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73,3 %. </w:t>
      </w:r>
      <w:proofErr w:type="spellStart"/>
      <w:r w:rsidRPr="00110311">
        <w:rPr>
          <w:rFonts w:ascii="Times New Roman" w:hAnsi="Times New Roman"/>
          <w:sz w:val="24"/>
          <w:szCs w:val="24"/>
        </w:rPr>
        <w:t>Фактична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собівартість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1 м</w:t>
      </w:r>
      <w:proofErr w:type="gramStart"/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1031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централізованому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водопостачанню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становить </w:t>
      </w:r>
      <w:r w:rsidRPr="00110311">
        <w:rPr>
          <w:rFonts w:ascii="Times New Roman" w:hAnsi="Times New Roman"/>
          <w:sz w:val="24"/>
          <w:szCs w:val="24"/>
          <w:lang w:val="uk-UA"/>
        </w:rPr>
        <w:t>30,76</w:t>
      </w:r>
      <w:r w:rsidRPr="00110311">
        <w:rPr>
          <w:rFonts w:ascii="Times New Roman" w:hAnsi="Times New Roman"/>
          <w:sz w:val="24"/>
          <w:szCs w:val="24"/>
        </w:rPr>
        <w:t xml:space="preserve"> грн. 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  <w:lang w:val="uk-UA"/>
        </w:rPr>
        <w:t>/ З ПДВ</w:t>
      </w:r>
      <w:r w:rsidRPr="00110311">
        <w:rPr>
          <w:rFonts w:ascii="Times New Roman" w:hAnsi="Times New Roman"/>
          <w:sz w:val="24"/>
          <w:szCs w:val="24"/>
        </w:rPr>
        <w:t xml:space="preserve">,  по </w:t>
      </w:r>
      <w:proofErr w:type="spellStart"/>
      <w:r w:rsidRPr="00110311">
        <w:rPr>
          <w:rFonts w:ascii="Times New Roman" w:hAnsi="Times New Roman"/>
          <w:sz w:val="24"/>
          <w:szCs w:val="24"/>
        </w:rPr>
        <w:t>водовідведенню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–3</w:t>
      </w:r>
      <w:r w:rsidRPr="00110311">
        <w:rPr>
          <w:rFonts w:ascii="Times New Roman" w:hAnsi="Times New Roman"/>
          <w:sz w:val="24"/>
          <w:szCs w:val="24"/>
          <w:lang w:val="uk-UA"/>
        </w:rPr>
        <w:t>9,07</w:t>
      </w:r>
      <w:r w:rsidRPr="00110311">
        <w:rPr>
          <w:rFonts w:ascii="Times New Roman" w:hAnsi="Times New Roman"/>
          <w:sz w:val="24"/>
          <w:szCs w:val="24"/>
        </w:rPr>
        <w:t xml:space="preserve"> грн.</w:t>
      </w:r>
      <w:r w:rsidRPr="00110311">
        <w:rPr>
          <w:rFonts w:ascii="Times New Roman" w:hAnsi="Times New Roman"/>
          <w:sz w:val="24"/>
          <w:szCs w:val="24"/>
          <w:lang w:val="uk-UA"/>
        </w:rPr>
        <w:t>/</w:t>
      </w:r>
      <w:r w:rsidRPr="00110311">
        <w:rPr>
          <w:rFonts w:ascii="Times New Roman" w:hAnsi="Times New Roman"/>
          <w:sz w:val="24"/>
          <w:szCs w:val="24"/>
        </w:rPr>
        <w:t xml:space="preserve"> 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Pr="00110311">
        <w:rPr>
          <w:rFonts w:ascii="Times New Roman" w:hAnsi="Times New Roman"/>
          <w:sz w:val="24"/>
          <w:szCs w:val="24"/>
          <w:lang w:val="uk-UA"/>
        </w:rPr>
        <w:t>з ПДВ</w:t>
      </w:r>
      <w:r w:rsidRPr="00110311">
        <w:rPr>
          <w:rFonts w:ascii="Times New Roman" w:hAnsi="Times New Roman"/>
          <w:sz w:val="24"/>
          <w:szCs w:val="24"/>
        </w:rPr>
        <w:t>, разом –  69,83 грн./м</w:t>
      </w:r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10311">
        <w:rPr>
          <w:rFonts w:ascii="Times New Roman" w:hAnsi="Times New Roman"/>
          <w:sz w:val="24"/>
          <w:szCs w:val="24"/>
        </w:rPr>
        <w:t>з ПДВ.</w:t>
      </w:r>
    </w:p>
    <w:tbl>
      <w:tblPr>
        <w:tblW w:w="8584" w:type="dxa"/>
        <w:tblInd w:w="93" w:type="dxa"/>
        <w:tblLook w:val="04A0" w:firstRow="1" w:lastRow="0" w:firstColumn="1" w:lastColumn="0" w:noHBand="0" w:noVBand="1"/>
      </w:tblPr>
      <w:tblGrid>
        <w:gridCol w:w="9469"/>
      </w:tblGrid>
      <w:tr w:rsidR="005D49AE" w:rsidRPr="006019DD" w:rsidTr="00AF29CB">
        <w:trPr>
          <w:trHeight w:val="25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11" w:rsidRDefault="00110311" w:rsidP="00AF29CB">
            <w:pPr>
              <w:jc w:val="center"/>
              <w:rPr>
                <w:rFonts w:ascii="Times New Roman" w:hAnsi="Times New Roman"/>
                <w:b/>
              </w:rPr>
            </w:pPr>
          </w:p>
          <w:p w:rsidR="005D49AE" w:rsidRPr="006019DD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9DD">
              <w:rPr>
                <w:rFonts w:ascii="Times New Roman" w:hAnsi="Times New Roman"/>
                <w:b/>
              </w:rPr>
              <w:t>Показники</w:t>
            </w:r>
            <w:proofErr w:type="spellEnd"/>
            <w:r w:rsidRPr="006019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D49AE" w:rsidRPr="006019DD" w:rsidTr="00AF29CB">
        <w:trPr>
          <w:trHeight w:val="25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E" w:rsidRPr="006019DD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9DD">
              <w:rPr>
                <w:rFonts w:ascii="Times New Roman" w:hAnsi="Times New Roman"/>
                <w:b/>
              </w:rPr>
              <w:t>фінансово-господарської</w:t>
            </w:r>
            <w:proofErr w:type="spellEnd"/>
            <w:r w:rsidRPr="00601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9DD">
              <w:rPr>
                <w:rFonts w:ascii="Times New Roman" w:hAnsi="Times New Roman"/>
                <w:b/>
              </w:rPr>
              <w:t>діяльності</w:t>
            </w:r>
            <w:proofErr w:type="spellEnd"/>
            <w:r w:rsidRPr="00601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9DD">
              <w:rPr>
                <w:rFonts w:ascii="Times New Roman" w:hAnsi="Times New Roman"/>
                <w:b/>
              </w:rPr>
              <w:t>комунального</w:t>
            </w:r>
            <w:proofErr w:type="spellEnd"/>
            <w:r w:rsidRPr="00601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9DD">
              <w:rPr>
                <w:rFonts w:ascii="Times New Roman" w:hAnsi="Times New Roman"/>
                <w:b/>
              </w:rPr>
              <w:t>підприємства</w:t>
            </w:r>
            <w:proofErr w:type="spellEnd"/>
            <w:r w:rsidRPr="006019DD">
              <w:rPr>
                <w:rFonts w:ascii="Times New Roman" w:hAnsi="Times New Roman"/>
                <w:b/>
              </w:rPr>
              <w:t xml:space="preserve"> Звягельської  МР                                    «ЗВЯГЕЛЬВОДОКАНАЛ»</w:t>
            </w:r>
          </w:p>
        </w:tc>
      </w:tr>
      <w:tr w:rsidR="005D49AE" w:rsidRPr="007476D7" w:rsidTr="00AF29CB">
        <w:trPr>
          <w:trHeight w:val="25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E" w:rsidRPr="006019DD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19DD">
              <w:rPr>
                <w:rFonts w:ascii="Times New Roman" w:hAnsi="Times New Roman"/>
                <w:b/>
              </w:rPr>
              <w:t>за  2023</w:t>
            </w:r>
            <w:proofErr w:type="gramEnd"/>
            <w:r w:rsidRPr="006019D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6019DD">
              <w:rPr>
                <w:rFonts w:ascii="Times New Roman" w:hAnsi="Times New Roman"/>
                <w:b/>
              </w:rPr>
              <w:t>рік</w:t>
            </w:r>
            <w:proofErr w:type="spellEnd"/>
          </w:p>
          <w:p w:rsidR="005D49AE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237" w:type="dxa"/>
              <w:tblLook w:val="04A0" w:firstRow="1" w:lastRow="0" w:firstColumn="1" w:lastColumn="0" w:noHBand="0" w:noVBand="1"/>
            </w:tblPr>
            <w:tblGrid>
              <w:gridCol w:w="895"/>
              <w:gridCol w:w="3402"/>
              <w:gridCol w:w="284"/>
              <w:gridCol w:w="834"/>
              <w:gridCol w:w="1113"/>
              <w:gridCol w:w="1277"/>
              <w:gridCol w:w="1438"/>
            </w:tblGrid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Показники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рік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%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</w:tr>
            <w:tr w:rsidR="005D49AE" w:rsidRPr="00110311" w:rsidTr="00AF29CB">
              <w:trPr>
                <w:trHeight w:val="27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Реалізація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води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тис.мЗ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1356,9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1359,7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100,2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27671,3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28102,0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101,6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без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23059,4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23418,3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101,6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Сума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4611,9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4683,7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101,6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без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2244,0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2621,9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994BDF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116,8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36711,8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34862,7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95,0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Середній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1 м3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16,99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101,3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Середня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собівартість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27,06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25,64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94,8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2244,00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1844,30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82,2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Прибуток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(-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збиток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ц.водоп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-13652,4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-11444,4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83,8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Рентабельність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водопостач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-37,19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-32,83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ІІ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Відведено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стоків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тис.мЗ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966,5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1013,1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104,8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27793,3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29012,4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104,4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без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23161,1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24177,0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104,4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Сума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4632,2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4835,4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104,4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без ПДВ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1465,2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1727,7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994BDF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117,9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32866,3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32990,1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100,4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Середній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1 м3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23,96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23,86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99,6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Середня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собівартість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34,01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32,56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95,8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1465,20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1204,20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82,2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Прибуток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(-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збиток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ц.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водовід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-9705,2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-8813,1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90,8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Рентабельність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водовідвед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-29,53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-26,71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ІІІ</w:t>
                  </w:r>
                </w:p>
              </w:tc>
              <w:tc>
                <w:tcPr>
                  <w:tcW w:w="45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Всього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основній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55464,6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57114,4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103,0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без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46220,5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  <w:t>47595,3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103,0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Сума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9244,1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9519,1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103,0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без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3709,2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4349,6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117,3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Загальний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49929,7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51944,9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69578,1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  <w:t>67852,8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97,5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3709,2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4083,7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110,1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Загальні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73287,3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71936,5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98,2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Збиток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ліцензійна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.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-23357,6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-20257,5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86,7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Рентабельність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-33,57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-29,86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Прибуток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абонплата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  <w:t>+265,90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Фінансова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підтримка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(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прибуток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+19112,8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ІУ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Інша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діяльність-</w:t>
                  </w: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819,0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102,4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457,1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93,3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Прибутки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іншої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діяльн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sz w:val="20"/>
                      <w:szCs w:val="20"/>
                    </w:rPr>
                    <w:t>+361,9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Інша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операц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діяльн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.(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дохід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дохід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12185,8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витрати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4312,7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Прибутки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іншої</w:t>
                  </w:r>
                  <w:proofErr w:type="spellEnd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опер.діяльності</w:t>
                  </w:r>
                  <w:proofErr w:type="spellEnd"/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color w:val="0D0D0D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color w:val="0D0D0D"/>
                      <w:sz w:val="20"/>
                      <w:szCs w:val="20"/>
                    </w:rPr>
                    <w:t>+7873,1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color w:val="0D0D0D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УІ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Балансовий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прибуток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т.грн</w:t>
                  </w:r>
                  <w:proofErr w:type="spellEnd"/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7356,2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D49AE" w:rsidRPr="00110311" w:rsidTr="00AF29CB">
              <w:trPr>
                <w:trHeight w:val="25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1031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110311" w:rsidRDefault="005D49AE" w:rsidP="00AF29C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D49AE" w:rsidRPr="007476D7" w:rsidRDefault="005D49AE" w:rsidP="00110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311" w:rsidRDefault="00110311" w:rsidP="00110311">
      <w:pPr>
        <w:ind w:left="-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</w:t>
      </w:r>
    </w:p>
    <w:p w:rsidR="005D49AE" w:rsidRPr="00110311" w:rsidRDefault="00110311" w:rsidP="00110311">
      <w:pPr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</w:t>
      </w:r>
      <w:proofErr w:type="spellStart"/>
      <w:r w:rsidR="005D49AE" w:rsidRPr="00110311">
        <w:rPr>
          <w:rFonts w:ascii="Times New Roman" w:hAnsi="Times New Roman"/>
          <w:b/>
          <w:sz w:val="24"/>
          <w:szCs w:val="24"/>
        </w:rPr>
        <w:t>Обсяги</w:t>
      </w:r>
      <w:proofErr w:type="spellEnd"/>
      <w:r w:rsidR="005D49AE" w:rsidRPr="0011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49AE" w:rsidRPr="00110311">
        <w:rPr>
          <w:rFonts w:ascii="Times New Roman" w:hAnsi="Times New Roman"/>
          <w:b/>
          <w:sz w:val="24"/>
          <w:szCs w:val="24"/>
        </w:rPr>
        <w:t>виробництва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984"/>
        <w:gridCol w:w="1418"/>
      </w:tblGrid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11">
              <w:rPr>
                <w:rFonts w:ascii="Times New Roman" w:hAnsi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11">
              <w:rPr>
                <w:rFonts w:ascii="Times New Roman" w:hAnsi="Times New Roman"/>
                <w:b/>
                <w:sz w:val="24"/>
                <w:szCs w:val="24"/>
              </w:rPr>
              <w:t>2023 р.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1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Піднято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води 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2499,9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2589,2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Технологічні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>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403,1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456,7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Подано води в мережу,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2096,8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2132,5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води,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1359,7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941,2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бюджетні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води,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Втрати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води,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782,1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713,3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Реалізовано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стоків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>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905,7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1013,1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  <w:tr w:rsidR="005D49AE" w:rsidRPr="00110311" w:rsidTr="00AF29CB">
        <w:tc>
          <w:tcPr>
            <w:tcW w:w="4077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 xml:space="preserve">Пропуск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стоків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>, тис.м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1990,9</w:t>
            </w:r>
          </w:p>
        </w:tc>
        <w:tc>
          <w:tcPr>
            <w:tcW w:w="1984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1973,8</w:t>
            </w:r>
          </w:p>
        </w:tc>
        <w:tc>
          <w:tcPr>
            <w:tcW w:w="1418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</w:tbl>
    <w:p w:rsidR="005D49AE" w:rsidRPr="007476D7" w:rsidRDefault="005D49AE" w:rsidP="005D49AE">
      <w:pPr>
        <w:rPr>
          <w:rFonts w:ascii="Times New Roman" w:hAnsi="Times New Roman"/>
          <w:b/>
          <w:sz w:val="28"/>
          <w:szCs w:val="28"/>
        </w:rPr>
      </w:pPr>
    </w:p>
    <w:p w:rsidR="005D49AE" w:rsidRPr="00110311" w:rsidRDefault="005D49AE" w:rsidP="005D49AE">
      <w:pPr>
        <w:jc w:val="both"/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110311">
        <w:rPr>
          <w:rFonts w:ascii="Times New Roman" w:hAnsi="Times New Roman"/>
          <w:sz w:val="24"/>
          <w:szCs w:val="24"/>
        </w:rPr>
        <w:t>За  2023</w:t>
      </w:r>
      <w:proofErr w:type="gramEnd"/>
      <w:r w:rsidRPr="00110311">
        <w:rPr>
          <w:rFonts w:ascii="Times New Roman" w:hAnsi="Times New Roman"/>
          <w:sz w:val="24"/>
          <w:szCs w:val="24"/>
        </w:rPr>
        <w:t xml:space="preserve"> р.  </w:t>
      </w:r>
      <w:proofErr w:type="spellStart"/>
      <w:r w:rsidRPr="00110311">
        <w:rPr>
          <w:rFonts w:ascii="Times New Roman" w:hAnsi="Times New Roman"/>
          <w:sz w:val="24"/>
          <w:szCs w:val="24"/>
        </w:rPr>
        <w:t>піднято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води 2589,2 </w:t>
      </w:r>
      <w:proofErr w:type="gramStart"/>
      <w:r w:rsidRPr="00110311">
        <w:rPr>
          <w:rFonts w:ascii="Times New Roman" w:hAnsi="Times New Roman"/>
          <w:sz w:val="24"/>
          <w:szCs w:val="24"/>
        </w:rPr>
        <w:t>тис.м</w:t>
      </w:r>
      <w:proofErr w:type="gramEnd"/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11">
        <w:rPr>
          <w:rFonts w:ascii="Times New Roman" w:hAnsi="Times New Roman"/>
          <w:sz w:val="24"/>
          <w:szCs w:val="24"/>
        </w:rPr>
        <w:t>що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становить на 3,6 % </w:t>
      </w:r>
      <w:proofErr w:type="spellStart"/>
      <w:r w:rsidRPr="00110311">
        <w:rPr>
          <w:rFonts w:ascii="Times New Roman" w:hAnsi="Times New Roman"/>
          <w:sz w:val="24"/>
          <w:szCs w:val="24"/>
        </w:rPr>
        <w:t>більше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від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піднятої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води за  2022р. </w:t>
      </w:r>
    </w:p>
    <w:p w:rsidR="005D49AE" w:rsidRPr="00110311" w:rsidRDefault="005D49AE" w:rsidP="005D49AE">
      <w:pPr>
        <w:jc w:val="both"/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sz w:val="24"/>
          <w:szCs w:val="24"/>
        </w:rPr>
        <w:t xml:space="preserve">    По </w:t>
      </w:r>
      <w:proofErr w:type="spellStart"/>
      <w:r w:rsidRPr="00110311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води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збільшилася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110311">
        <w:rPr>
          <w:rFonts w:ascii="Times New Roman" w:hAnsi="Times New Roman"/>
          <w:sz w:val="24"/>
          <w:szCs w:val="24"/>
        </w:rPr>
        <w:t xml:space="preserve"> 98,5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                   10,5%; по </w:t>
      </w:r>
      <w:proofErr w:type="spellStart"/>
      <w:r w:rsidRPr="00110311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установам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збільшилася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1,3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1%; по </w:t>
      </w:r>
      <w:proofErr w:type="spellStart"/>
      <w:r w:rsidRPr="00110311">
        <w:rPr>
          <w:rFonts w:ascii="Times New Roman" w:hAnsi="Times New Roman"/>
          <w:sz w:val="24"/>
          <w:szCs w:val="24"/>
        </w:rPr>
        <w:t>іншим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споживачам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збішилась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2,6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1,4%.  </w:t>
      </w:r>
      <w:proofErr w:type="spellStart"/>
      <w:r w:rsidRPr="00110311">
        <w:rPr>
          <w:rFonts w:ascii="Times New Roman" w:hAnsi="Times New Roman"/>
          <w:sz w:val="24"/>
          <w:szCs w:val="24"/>
        </w:rPr>
        <w:t>Втрати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води в </w:t>
      </w:r>
      <w:proofErr w:type="spellStart"/>
      <w:r w:rsidRPr="00110311">
        <w:rPr>
          <w:rFonts w:ascii="Times New Roman" w:hAnsi="Times New Roman"/>
          <w:sz w:val="24"/>
          <w:szCs w:val="24"/>
        </w:rPr>
        <w:t>абсолютній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величині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зменшилися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68,8 </w:t>
      </w:r>
      <w:proofErr w:type="gramStart"/>
      <w:r w:rsidRPr="00110311">
        <w:rPr>
          <w:rFonts w:ascii="Times New Roman" w:hAnsi="Times New Roman"/>
          <w:sz w:val="24"/>
          <w:szCs w:val="24"/>
        </w:rPr>
        <w:t>тис.м</w:t>
      </w:r>
      <w:proofErr w:type="gramEnd"/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8,8%.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реалізованих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стоків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збільшилась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на 107,4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18,6 %, пропуск </w:t>
      </w:r>
      <w:proofErr w:type="spellStart"/>
      <w:r w:rsidRPr="00110311">
        <w:rPr>
          <w:rFonts w:ascii="Times New Roman" w:hAnsi="Times New Roman"/>
          <w:sz w:val="24"/>
          <w:szCs w:val="24"/>
        </w:rPr>
        <w:t>стоків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зменшився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17,1 тис.м</w:t>
      </w:r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0,9 %.</w:t>
      </w:r>
    </w:p>
    <w:p w:rsidR="005D49AE" w:rsidRPr="00110311" w:rsidRDefault="005D49AE" w:rsidP="005D49AE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9AE" w:rsidRPr="007476D7" w:rsidRDefault="005D49AE" w:rsidP="00110311">
      <w:pPr>
        <w:jc w:val="both"/>
        <w:rPr>
          <w:rFonts w:ascii="Times New Roman" w:hAnsi="Times New Roman"/>
          <w:sz w:val="28"/>
          <w:szCs w:val="28"/>
        </w:rPr>
      </w:pPr>
    </w:p>
    <w:p w:rsidR="005D49AE" w:rsidRPr="00110311" w:rsidRDefault="005D49AE" w:rsidP="005D49AE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uk-UA"/>
        </w:rPr>
      </w:pPr>
      <w:proofErr w:type="gramStart"/>
      <w:r w:rsidRPr="00110311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>РЕАЛІЗАЦІЯ  ПОСЛУГ</w:t>
      </w:r>
      <w:proofErr w:type="gramEnd"/>
      <w:r w:rsidRPr="00110311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 xml:space="preserve"> З ЦЕНТРАЛІЗОВАНОГО ВОДОПОСТАЧАННЯ ТА  централізованого   ВОДОВІДВЕДЕННЯ</w:t>
      </w:r>
      <w:r w:rsidR="00110311"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uk-UA"/>
        </w:rPr>
        <w:t xml:space="preserve">     </w:t>
      </w:r>
    </w:p>
    <w:p w:rsidR="005D49AE" w:rsidRPr="00110311" w:rsidRDefault="005D49AE" w:rsidP="005D49AE">
      <w:pPr>
        <w:pStyle w:val="2"/>
        <w:ind w:left="1416" w:firstLine="708"/>
        <w:rPr>
          <w:rFonts w:ascii="Times New Roman" w:hAnsi="Times New Roman" w:cs="Times New Roman"/>
          <w:b/>
          <w:caps/>
          <w:color w:val="auto"/>
          <w:sz w:val="22"/>
          <w:szCs w:val="22"/>
        </w:rPr>
      </w:pPr>
      <w:proofErr w:type="gramStart"/>
      <w:r w:rsidRPr="00110311">
        <w:rPr>
          <w:rFonts w:ascii="Times New Roman" w:hAnsi="Times New Roman" w:cs="Times New Roman"/>
          <w:b/>
          <w:caps/>
          <w:color w:val="auto"/>
          <w:sz w:val="22"/>
          <w:szCs w:val="22"/>
        </w:rPr>
        <w:t>В  РОЗРІЗІ</w:t>
      </w:r>
      <w:proofErr w:type="gramEnd"/>
      <w:r w:rsidRPr="00110311">
        <w:rPr>
          <w:rFonts w:ascii="Times New Roman" w:hAnsi="Times New Roman" w:cs="Times New Roman"/>
          <w:b/>
          <w:caps/>
          <w:color w:val="auto"/>
          <w:sz w:val="22"/>
          <w:szCs w:val="22"/>
        </w:rPr>
        <w:t xml:space="preserve">  СПОЖИВАЧІВ    за   2023 р.</w:t>
      </w:r>
    </w:p>
    <w:p w:rsidR="005D49AE" w:rsidRPr="007476D7" w:rsidRDefault="005D49AE" w:rsidP="005D49AE">
      <w:pPr>
        <w:jc w:val="center"/>
        <w:rPr>
          <w:rFonts w:ascii="Times New Roman" w:hAnsi="Times New Roman"/>
        </w:rPr>
      </w:pPr>
    </w:p>
    <w:tbl>
      <w:tblPr>
        <w:tblW w:w="10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67"/>
        <w:gridCol w:w="720"/>
        <w:gridCol w:w="986"/>
        <w:gridCol w:w="815"/>
        <w:gridCol w:w="865"/>
        <w:gridCol w:w="720"/>
        <w:gridCol w:w="985"/>
        <w:gridCol w:w="1013"/>
        <w:gridCol w:w="937"/>
        <w:gridCol w:w="1007"/>
      </w:tblGrid>
      <w:tr w:rsidR="005D49AE" w:rsidRPr="007476D7" w:rsidTr="00AF29CB">
        <w:trPr>
          <w:cantSplit/>
          <w:trHeight w:val="300"/>
        </w:trPr>
        <w:tc>
          <w:tcPr>
            <w:tcW w:w="1314" w:type="dxa"/>
            <w:vMerge w:val="restart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 xml:space="preserve">    </w:t>
            </w:r>
            <w:proofErr w:type="spellStart"/>
            <w:r w:rsidRPr="007476D7">
              <w:rPr>
                <w:rFonts w:ascii="Times New Roman" w:hAnsi="Times New Roman"/>
              </w:rPr>
              <w:t>Споживачі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</w:p>
        </w:tc>
        <w:tc>
          <w:tcPr>
            <w:tcW w:w="3388" w:type="dxa"/>
            <w:gridSpan w:val="4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Централізоване</w:t>
            </w:r>
            <w:proofErr w:type="spellEnd"/>
            <w:r w:rsidRPr="007476D7">
              <w:rPr>
                <w:rFonts w:ascii="Times New Roman" w:hAnsi="Times New Roman"/>
              </w:rPr>
              <w:t xml:space="preserve"> </w:t>
            </w:r>
            <w:proofErr w:type="spellStart"/>
            <w:r w:rsidRPr="007476D7">
              <w:rPr>
                <w:rFonts w:ascii="Times New Roman" w:hAnsi="Times New Roman"/>
              </w:rPr>
              <w:t>водопостачання</w:t>
            </w:r>
            <w:proofErr w:type="spellEnd"/>
          </w:p>
        </w:tc>
        <w:tc>
          <w:tcPr>
            <w:tcW w:w="3583" w:type="dxa"/>
            <w:gridSpan w:val="4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Централізоване</w:t>
            </w:r>
            <w:proofErr w:type="spellEnd"/>
            <w:r w:rsidRPr="007476D7">
              <w:rPr>
                <w:rFonts w:ascii="Times New Roman" w:hAnsi="Times New Roman"/>
              </w:rPr>
              <w:t xml:space="preserve"> </w:t>
            </w:r>
            <w:proofErr w:type="spellStart"/>
            <w:r w:rsidRPr="007476D7">
              <w:rPr>
                <w:rFonts w:ascii="Times New Roman" w:hAnsi="Times New Roman"/>
              </w:rPr>
              <w:t>водовідведення</w:t>
            </w:r>
            <w:proofErr w:type="spellEnd"/>
          </w:p>
        </w:tc>
        <w:tc>
          <w:tcPr>
            <w:tcW w:w="1944" w:type="dxa"/>
            <w:gridSpan w:val="2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 xml:space="preserve">     </w:t>
            </w:r>
            <w:proofErr w:type="spellStart"/>
            <w:r w:rsidRPr="007476D7">
              <w:rPr>
                <w:rFonts w:ascii="Times New Roman" w:hAnsi="Times New Roman"/>
              </w:rPr>
              <w:t>Всього</w:t>
            </w:r>
            <w:proofErr w:type="spellEnd"/>
          </w:p>
        </w:tc>
      </w:tr>
      <w:tr w:rsidR="005D49AE" w:rsidRPr="007476D7" w:rsidTr="00AF29CB">
        <w:trPr>
          <w:cantSplit/>
          <w:trHeight w:val="520"/>
        </w:trPr>
        <w:tc>
          <w:tcPr>
            <w:tcW w:w="1314" w:type="dxa"/>
            <w:vMerge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D49AE" w:rsidRPr="007476D7" w:rsidRDefault="005D49AE" w:rsidP="00AF29CB">
            <w:pPr>
              <w:rPr>
                <w:rFonts w:ascii="Times New Roman" w:hAnsi="Times New Roman"/>
                <w:vertAlign w:val="superscript"/>
              </w:rPr>
            </w:pPr>
            <w:r w:rsidRPr="007476D7">
              <w:rPr>
                <w:rFonts w:ascii="Times New Roman" w:hAnsi="Times New Roman"/>
              </w:rPr>
              <w:t xml:space="preserve"> тис.м</w:t>
            </w:r>
            <w:r w:rsidRPr="007476D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питома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вага  %</w:t>
            </w:r>
          </w:p>
        </w:tc>
        <w:tc>
          <w:tcPr>
            <w:tcW w:w="986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 xml:space="preserve">тис. </w:t>
            </w:r>
            <w:proofErr w:type="spellStart"/>
            <w:r w:rsidRPr="007476D7">
              <w:rPr>
                <w:rFonts w:ascii="Times New Roman" w:hAnsi="Times New Roman"/>
              </w:rPr>
              <w:t>грн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без ПДВ</w:t>
            </w:r>
          </w:p>
        </w:tc>
        <w:tc>
          <w:tcPr>
            <w:tcW w:w="815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питома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вага  %</w:t>
            </w:r>
          </w:p>
        </w:tc>
        <w:tc>
          <w:tcPr>
            <w:tcW w:w="865" w:type="dxa"/>
          </w:tcPr>
          <w:p w:rsidR="005D49AE" w:rsidRPr="007476D7" w:rsidRDefault="005D49AE" w:rsidP="00AF29CB">
            <w:pPr>
              <w:ind w:firstLine="429"/>
              <w:rPr>
                <w:rFonts w:ascii="Times New Roman" w:hAnsi="Times New Roman"/>
                <w:vertAlign w:val="superscript"/>
              </w:rPr>
            </w:pPr>
            <w:r w:rsidRPr="007476D7">
              <w:rPr>
                <w:rFonts w:ascii="Times New Roman" w:hAnsi="Times New Roman"/>
              </w:rPr>
              <w:t xml:space="preserve"> тис.м</w:t>
            </w:r>
            <w:r w:rsidRPr="007476D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Пито</w:t>
            </w:r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ма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вага  %</w:t>
            </w:r>
          </w:p>
        </w:tc>
        <w:tc>
          <w:tcPr>
            <w:tcW w:w="985" w:type="dxa"/>
            <w:tcBorders>
              <w:bottom w:val="nil"/>
            </w:tcBorders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тис.грн</w:t>
            </w:r>
            <w:proofErr w:type="spellEnd"/>
            <w:r w:rsidRPr="007476D7">
              <w:rPr>
                <w:rFonts w:ascii="Times New Roman" w:hAnsi="Times New Roman"/>
              </w:rPr>
              <w:t>.</w:t>
            </w:r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без ПДВ</w:t>
            </w:r>
          </w:p>
        </w:tc>
        <w:tc>
          <w:tcPr>
            <w:tcW w:w="1013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Питома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вага  %</w:t>
            </w:r>
          </w:p>
        </w:tc>
        <w:tc>
          <w:tcPr>
            <w:tcW w:w="937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 xml:space="preserve">Тис. </w:t>
            </w:r>
            <w:proofErr w:type="spellStart"/>
            <w:r w:rsidRPr="007476D7">
              <w:rPr>
                <w:rFonts w:ascii="Times New Roman" w:hAnsi="Times New Roman"/>
              </w:rPr>
              <w:t>грн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без ПДВ</w:t>
            </w:r>
          </w:p>
        </w:tc>
        <w:tc>
          <w:tcPr>
            <w:tcW w:w="1007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питома</w:t>
            </w:r>
            <w:proofErr w:type="spellEnd"/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вага  %</w:t>
            </w:r>
          </w:p>
        </w:tc>
      </w:tr>
      <w:tr w:rsidR="005D49AE" w:rsidRPr="007476D7" w:rsidTr="00AF29CB">
        <w:tc>
          <w:tcPr>
            <w:tcW w:w="1314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86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1359,7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100,0</w:t>
            </w:r>
          </w:p>
        </w:tc>
        <w:tc>
          <w:tcPr>
            <w:tcW w:w="986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23418,3</w:t>
            </w:r>
          </w:p>
        </w:tc>
        <w:tc>
          <w:tcPr>
            <w:tcW w:w="81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1013,1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100,0</w:t>
            </w:r>
          </w:p>
        </w:tc>
        <w:tc>
          <w:tcPr>
            <w:tcW w:w="98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24177,0</w:t>
            </w:r>
          </w:p>
        </w:tc>
        <w:tc>
          <w:tcPr>
            <w:tcW w:w="1013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100,0</w:t>
            </w:r>
          </w:p>
        </w:tc>
        <w:tc>
          <w:tcPr>
            <w:tcW w:w="93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47595,3</w:t>
            </w:r>
          </w:p>
        </w:tc>
        <w:tc>
          <w:tcPr>
            <w:tcW w:w="100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100,0</w:t>
            </w:r>
          </w:p>
        </w:tc>
      </w:tr>
      <w:tr w:rsidR="005D49AE" w:rsidRPr="007476D7" w:rsidTr="00AF29CB">
        <w:tc>
          <w:tcPr>
            <w:tcW w:w="1314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  т.ч.</w:t>
            </w:r>
          </w:p>
        </w:tc>
        <w:tc>
          <w:tcPr>
            <w:tcW w:w="86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 </w:t>
            </w:r>
          </w:p>
        </w:tc>
        <w:tc>
          <w:tcPr>
            <w:tcW w:w="86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 </w:t>
            </w:r>
          </w:p>
        </w:tc>
        <w:tc>
          <w:tcPr>
            <w:tcW w:w="98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 </w:t>
            </w:r>
          </w:p>
        </w:tc>
        <w:tc>
          <w:tcPr>
            <w:tcW w:w="93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 </w:t>
            </w:r>
          </w:p>
        </w:tc>
      </w:tr>
      <w:tr w:rsidR="005D49AE" w:rsidRPr="007476D7" w:rsidTr="00AF29CB">
        <w:tc>
          <w:tcPr>
            <w:tcW w:w="1314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Населення</w:t>
            </w:r>
            <w:proofErr w:type="spellEnd"/>
            <w:r w:rsidRPr="007476D7">
              <w:rPr>
                <w:rFonts w:ascii="Times New Roman" w:hAnsi="Times New Roman"/>
              </w:rPr>
              <w:t xml:space="preserve">, </w:t>
            </w:r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r w:rsidRPr="007476D7">
              <w:rPr>
                <w:rFonts w:ascii="Times New Roman" w:hAnsi="Times New Roman"/>
              </w:rPr>
              <w:t>в т.ч.</w:t>
            </w:r>
          </w:p>
        </w:tc>
        <w:tc>
          <w:tcPr>
            <w:tcW w:w="86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1039,7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76,5</w:t>
            </w:r>
          </w:p>
        </w:tc>
        <w:tc>
          <w:tcPr>
            <w:tcW w:w="986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16540,3</w:t>
            </w:r>
          </w:p>
        </w:tc>
        <w:tc>
          <w:tcPr>
            <w:tcW w:w="81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70,6</w:t>
            </w:r>
          </w:p>
        </w:tc>
        <w:tc>
          <w:tcPr>
            <w:tcW w:w="86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645,1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63,7</w:t>
            </w:r>
          </w:p>
        </w:tc>
        <w:tc>
          <w:tcPr>
            <w:tcW w:w="98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13773,6</w:t>
            </w:r>
          </w:p>
        </w:tc>
        <w:tc>
          <w:tcPr>
            <w:tcW w:w="1013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57,0</w:t>
            </w:r>
          </w:p>
        </w:tc>
        <w:tc>
          <w:tcPr>
            <w:tcW w:w="93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30313,9</w:t>
            </w:r>
          </w:p>
        </w:tc>
        <w:tc>
          <w:tcPr>
            <w:tcW w:w="100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63,7</w:t>
            </w:r>
          </w:p>
        </w:tc>
      </w:tr>
      <w:tr w:rsidR="005D49AE" w:rsidRPr="007476D7" w:rsidTr="00AF29CB">
        <w:tc>
          <w:tcPr>
            <w:tcW w:w="1314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бюджетні</w:t>
            </w:r>
            <w:proofErr w:type="spellEnd"/>
            <w:r w:rsidRPr="007476D7">
              <w:rPr>
                <w:rFonts w:ascii="Times New Roman" w:hAnsi="Times New Roman"/>
              </w:rPr>
              <w:t xml:space="preserve"> </w:t>
            </w:r>
            <w:proofErr w:type="spellStart"/>
            <w:r w:rsidRPr="007476D7">
              <w:rPr>
                <w:rFonts w:ascii="Times New Roman" w:hAnsi="Times New Roman"/>
              </w:rPr>
              <w:t>організації</w:t>
            </w:r>
            <w:proofErr w:type="spellEnd"/>
          </w:p>
        </w:tc>
        <w:tc>
          <w:tcPr>
            <w:tcW w:w="86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126,2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9,3</w:t>
            </w:r>
          </w:p>
        </w:tc>
        <w:tc>
          <w:tcPr>
            <w:tcW w:w="986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2748,0</w:t>
            </w:r>
          </w:p>
        </w:tc>
        <w:tc>
          <w:tcPr>
            <w:tcW w:w="81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11,7</w:t>
            </w:r>
          </w:p>
        </w:tc>
        <w:tc>
          <w:tcPr>
            <w:tcW w:w="86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120,0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11,8</w:t>
            </w:r>
          </w:p>
        </w:tc>
        <w:tc>
          <w:tcPr>
            <w:tcW w:w="98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3587,7</w:t>
            </w:r>
          </w:p>
        </w:tc>
        <w:tc>
          <w:tcPr>
            <w:tcW w:w="1013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14,8</w:t>
            </w:r>
          </w:p>
        </w:tc>
        <w:tc>
          <w:tcPr>
            <w:tcW w:w="93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6335,7</w:t>
            </w:r>
          </w:p>
        </w:tc>
        <w:tc>
          <w:tcPr>
            <w:tcW w:w="100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13,3</w:t>
            </w:r>
          </w:p>
        </w:tc>
      </w:tr>
      <w:tr w:rsidR="005D49AE" w:rsidRPr="007476D7" w:rsidTr="00AF29CB">
        <w:tc>
          <w:tcPr>
            <w:tcW w:w="1314" w:type="dxa"/>
          </w:tcPr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госпрозрах</w:t>
            </w:r>
            <w:proofErr w:type="spellEnd"/>
            <w:r w:rsidRPr="007476D7">
              <w:rPr>
                <w:rFonts w:ascii="Times New Roman" w:hAnsi="Times New Roman"/>
              </w:rPr>
              <w:t>.</w:t>
            </w:r>
          </w:p>
          <w:p w:rsidR="005D49AE" w:rsidRPr="007476D7" w:rsidRDefault="005D49AE" w:rsidP="00AF29CB">
            <w:pPr>
              <w:rPr>
                <w:rFonts w:ascii="Times New Roman" w:hAnsi="Times New Roman"/>
              </w:rPr>
            </w:pPr>
            <w:proofErr w:type="spellStart"/>
            <w:r w:rsidRPr="007476D7">
              <w:rPr>
                <w:rFonts w:ascii="Times New Roman" w:hAnsi="Times New Roman"/>
              </w:rPr>
              <w:t>організації</w:t>
            </w:r>
            <w:proofErr w:type="spellEnd"/>
          </w:p>
        </w:tc>
        <w:tc>
          <w:tcPr>
            <w:tcW w:w="86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193,8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14,2</w:t>
            </w:r>
          </w:p>
        </w:tc>
        <w:tc>
          <w:tcPr>
            <w:tcW w:w="986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4130,0</w:t>
            </w:r>
          </w:p>
        </w:tc>
        <w:tc>
          <w:tcPr>
            <w:tcW w:w="81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17,7</w:t>
            </w:r>
          </w:p>
        </w:tc>
        <w:tc>
          <w:tcPr>
            <w:tcW w:w="86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248</w:t>
            </w:r>
          </w:p>
        </w:tc>
        <w:tc>
          <w:tcPr>
            <w:tcW w:w="720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24,5</w:t>
            </w:r>
          </w:p>
        </w:tc>
        <w:tc>
          <w:tcPr>
            <w:tcW w:w="985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6815,7</w:t>
            </w:r>
          </w:p>
        </w:tc>
        <w:tc>
          <w:tcPr>
            <w:tcW w:w="1013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28,2</w:t>
            </w:r>
          </w:p>
        </w:tc>
        <w:tc>
          <w:tcPr>
            <w:tcW w:w="93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10945,7</w:t>
            </w:r>
          </w:p>
        </w:tc>
        <w:tc>
          <w:tcPr>
            <w:tcW w:w="1007" w:type="dxa"/>
            <w:vAlign w:val="center"/>
          </w:tcPr>
          <w:p w:rsidR="005D49AE" w:rsidRPr="008A618E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8A618E">
              <w:rPr>
                <w:rFonts w:ascii="Times New Roman" w:hAnsi="Times New Roman"/>
              </w:rPr>
              <w:t>23,0</w:t>
            </w:r>
          </w:p>
        </w:tc>
      </w:tr>
    </w:tbl>
    <w:p w:rsidR="005D49AE" w:rsidRPr="007476D7" w:rsidRDefault="005D49AE" w:rsidP="005D49AE">
      <w:pPr>
        <w:rPr>
          <w:rFonts w:ascii="Times New Roman" w:hAnsi="Times New Roman"/>
          <w:sz w:val="28"/>
          <w:szCs w:val="28"/>
        </w:rPr>
      </w:pPr>
    </w:p>
    <w:p w:rsidR="005D49AE" w:rsidRPr="00110311" w:rsidRDefault="005D49AE" w:rsidP="005D49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110311">
        <w:rPr>
          <w:rFonts w:ascii="Times New Roman" w:hAnsi="Times New Roman"/>
          <w:sz w:val="24"/>
          <w:szCs w:val="24"/>
        </w:rPr>
        <w:t>даної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таблиці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видно, </w:t>
      </w:r>
      <w:proofErr w:type="spellStart"/>
      <w:r w:rsidRPr="00110311">
        <w:rPr>
          <w:rFonts w:ascii="Times New Roman" w:hAnsi="Times New Roman"/>
          <w:sz w:val="24"/>
          <w:szCs w:val="24"/>
        </w:rPr>
        <w:t>що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питома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вага </w:t>
      </w:r>
      <w:proofErr w:type="spellStart"/>
      <w:r w:rsidRPr="00110311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10311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реалізованої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 води  </w:t>
      </w:r>
      <w:r w:rsidRPr="0011031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складає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70,6%, а в </w:t>
      </w:r>
      <w:proofErr w:type="spellStart"/>
      <w:r w:rsidRPr="00110311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сумі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нарахованих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0311">
        <w:rPr>
          <w:rFonts w:ascii="Times New Roman" w:hAnsi="Times New Roman"/>
          <w:sz w:val="24"/>
          <w:szCs w:val="24"/>
        </w:rPr>
        <w:t>всіх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доходів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– 63,7%, </w:t>
      </w:r>
      <w:proofErr w:type="spellStart"/>
      <w:r w:rsidRPr="00110311">
        <w:rPr>
          <w:rFonts w:ascii="Times New Roman" w:hAnsi="Times New Roman"/>
          <w:sz w:val="24"/>
          <w:szCs w:val="24"/>
        </w:rPr>
        <w:t>тобто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послуг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являється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110311">
        <w:rPr>
          <w:rFonts w:ascii="Times New Roman" w:hAnsi="Times New Roman"/>
          <w:sz w:val="24"/>
          <w:szCs w:val="24"/>
        </w:rPr>
        <w:t>.</w:t>
      </w:r>
    </w:p>
    <w:p w:rsidR="005D49AE" w:rsidRPr="00110311" w:rsidRDefault="005D49AE" w:rsidP="0011031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10311">
        <w:rPr>
          <w:rFonts w:ascii="Times New Roman" w:hAnsi="Times New Roman"/>
          <w:b/>
          <w:sz w:val="24"/>
          <w:szCs w:val="24"/>
        </w:rPr>
        <w:t>Аналіз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собівартості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централізованого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водопостачання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централізованого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водовідведення</w:t>
      </w:r>
      <w:proofErr w:type="spellEnd"/>
    </w:p>
    <w:p w:rsidR="005D49AE" w:rsidRPr="002B1CAE" w:rsidRDefault="005D49AE" w:rsidP="005D49AE">
      <w:pPr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9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80"/>
        <w:gridCol w:w="1080"/>
        <w:gridCol w:w="1080"/>
        <w:gridCol w:w="1200"/>
        <w:gridCol w:w="1200"/>
        <w:gridCol w:w="1292"/>
      </w:tblGrid>
      <w:tr w:rsidR="005D49AE" w:rsidRPr="00110311" w:rsidTr="00AF29CB">
        <w:trPr>
          <w:cantSplit/>
          <w:trHeight w:val="196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10311">
              <w:rPr>
                <w:rFonts w:ascii="Times New Roman" w:hAnsi="Times New Roman"/>
              </w:rPr>
              <w:t>Найменування</w:t>
            </w:r>
            <w:proofErr w:type="spellEnd"/>
          </w:p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hAnsi="Times New Roman"/>
              </w:rPr>
              <w:t>статей</w:t>
            </w:r>
          </w:p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витрат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100"/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2022 р.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9AE" w:rsidRPr="00110311" w:rsidRDefault="005D49AE" w:rsidP="00AF29CB">
            <w:pPr>
              <w:ind w:right="100"/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2023 р.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eastAsia="Arial Unicode MS" w:hAnsi="Times New Roman"/>
              </w:rPr>
              <w:t>Витрати</w:t>
            </w:r>
            <w:proofErr w:type="spellEnd"/>
            <w:r w:rsidRPr="00110311">
              <w:rPr>
                <w:rFonts w:ascii="Times New Roman" w:eastAsia="Arial Unicode MS" w:hAnsi="Times New Roman"/>
              </w:rPr>
              <w:t xml:space="preserve"> на 1 грн. доходу</w:t>
            </w:r>
          </w:p>
        </w:tc>
      </w:tr>
      <w:tr w:rsidR="005D49AE" w:rsidRPr="00110311" w:rsidTr="00AF29CB">
        <w:trPr>
          <w:cantSplit/>
          <w:trHeight w:val="276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eastAsia="Arial Unicode MS" w:hAnsi="Times New Roman"/>
              </w:rPr>
              <w:t>тис.грн</w:t>
            </w:r>
            <w:proofErr w:type="spellEnd"/>
            <w:r w:rsidRPr="00110311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eastAsia="Arial Unicode MS" w:hAnsi="Times New Roman"/>
              </w:rPr>
              <w:t>Питома</w:t>
            </w:r>
            <w:proofErr w:type="spellEnd"/>
            <w:r w:rsidRPr="00110311">
              <w:rPr>
                <w:rFonts w:ascii="Times New Roman" w:eastAsia="Arial Unicode MS" w:hAnsi="Times New Roman"/>
              </w:rPr>
              <w:t xml:space="preserve"> вага,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eastAsia="Arial Unicode MS" w:hAnsi="Times New Roman"/>
              </w:rPr>
              <w:t>тис.грн</w:t>
            </w:r>
            <w:proofErr w:type="spellEnd"/>
            <w:r w:rsidRPr="00110311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eastAsia="Arial Unicode MS" w:hAnsi="Times New Roman"/>
              </w:rPr>
              <w:t>Питома</w:t>
            </w:r>
            <w:proofErr w:type="spellEnd"/>
            <w:r w:rsidRPr="00110311">
              <w:rPr>
                <w:rFonts w:ascii="Times New Roman" w:eastAsia="Arial Unicode MS" w:hAnsi="Times New Roman"/>
              </w:rPr>
              <w:t xml:space="preserve"> вага,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2022 р.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</w:p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2023 р.</w:t>
            </w:r>
          </w:p>
        </w:tc>
      </w:tr>
      <w:tr w:rsidR="005D49AE" w:rsidRPr="00110311" w:rsidTr="00AF29CB">
        <w:trPr>
          <w:cantSplit/>
          <w:trHeight w:val="27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eastAsia="Arial Unicode MS" w:hAnsi="Times New Roman"/>
              </w:rPr>
              <w:t>7</w:t>
            </w:r>
          </w:p>
        </w:tc>
      </w:tr>
      <w:tr w:rsidR="005D49AE" w:rsidRPr="00110311" w:rsidTr="00AF29CB">
        <w:trPr>
          <w:trHeight w:val="1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Матеріальні</w:t>
            </w:r>
            <w:proofErr w:type="spellEnd"/>
            <w:r w:rsidRPr="00110311">
              <w:rPr>
                <w:rFonts w:ascii="Times New Roman" w:hAnsi="Times New Roman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23020,8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27580,7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0,58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hAnsi="Times New Roman"/>
              </w:rPr>
              <w:t xml:space="preserve">в т.ч. </w:t>
            </w:r>
            <w:proofErr w:type="spellStart"/>
            <w:r w:rsidRPr="00110311">
              <w:rPr>
                <w:rFonts w:ascii="Times New Roman" w:hAnsi="Times New Roman"/>
              </w:rPr>
              <w:t>електроенерг</w:t>
            </w:r>
            <w:proofErr w:type="spellEnd"/>
            <w:r w:rsidRPr="00110311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16956,4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17557,2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0,37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матеріали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1436,9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3241,7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0,07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реагенти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3386,3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5056,9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0,11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паливо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1241,2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1724,9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0,04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r w:rsidRPr="00110311">
              <w:rPr>
                <w:rFonts w:ascii="Times New Roman" w:hAnsi="Times New Roman"/>
              </w:rPr>
              <w:t xml:space="preserve">Оплата </w:t>
            </w:r>
            <w:proofErr w:type="spellStart"/>
            <w:r w:rsidRPr="00110311">
              <w:rPr>
                <w:rFonts w:ascii="Times New Roman" w:hAnsi="Times New Roman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21727,1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25230,5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0,53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eastAsia="Arial Unicode MS" w:hAnsi="Times New Roman"/>
              </w:rPr>
              <w:t>Єдиний</w:t>
            </w:r>
            <w:proofErr w:type="spellEnd"/>
            <w:r w:rsidRPr="00110311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110311">
              <w:rPr>
                <w:rFonts w:ascii="Times New Roman" w:eastAsia="Arial Unicode MS" w:hAnsi="Times New Roman"/>
              </w:rPr>
              <w:t>внесок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4513,9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5217,7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0,11</w:t>
            </w:r>
          </w:p>
        </w:tc>
      </w:tr>
      <w:tr w:rsidR="005D49AE" w:rsidRPr="00110311" w:rsidTr="00AF29CB">
        <w:trPr>
          <w:trHeight w:val="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Амортизація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4523,6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7787,6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0,16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Інші</w:t>
            </w:r>
            <w:proofErr w:type="spellEnd"/>
            <w:r w:rsidRPr="00110311">
              <w:rPr>
                <w:rFonts w:ascii="Times New Roman" w:hAnsi="Times New Roman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647,1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732,8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0,02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Податки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1064,1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1303,5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0,03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Всього</w:t>
            </w:r>
            <w:proofErr w:type="spellEnd"/>
            <w:r w:rsidRPr="00110311">
              <w:rPr>
                <w:rFonts w:ascii="Times New Roman" w:hAnsi="Times New Roman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0311">
              <w:rPr>
                <w:rFonts w:ascii="Times New Roman" w:hAnsi="Times New Roman"/>
                <w:b/>
                <w:bCs/>
              </w:rPr>
              <w:t>55496,6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0311">
              <w:rPr>
                <w:rFonts w:ascii="Times New Roman" w:hAnsi="Times New Roman"/>
                <w:b/>
                <w:bCs/>
              </w:rPr>
              <w:t>67852,8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1,43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Прямі</w:t>
            </w:r>
            <w:proofErr w:type="spellEnd"/>
            <w:r w:rsidRPr="00110311">
              <w:rPr>
                <w:rFonts w:ascii="Times New Roman" w:hAnsi="Times New Roman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37628,9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45322,9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0,95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Загальновиробничі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14108,3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18140,9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0,38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Адмін</w:t>
            </w:r>
            <w:proofErr w:type="spellEnd"/>
            <w:r w:rsidRPr="00110311">
              <w:rPr>
                <w:rFonts w:ascii="Times New Roman" w:hAnsi="Times New Roman"/>
              </w:rPr>
              <w:t xml:space="preserve">. </w:t>
            </w:r>
            <w:proofErr w:type="spellStart"/>
            <w:r w:rsidRPr="00110311">
              <w:rPr>
                <w:rFonts w:ascii="Times New Roman" w:hAnsi="Times New Roman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3759,4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4389,0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110311">
              <w:rPr>
                <w:rFonts w:ascii="Times New Roman" w:hAnsi="Times New Roman"/>
              </w:rPr>
              <w:t>0,09</w:t>
            </w: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</w:rPr>
            </w:pPr>
            <w:proofErr w:type="spellStart"/>
            <w:r w:rsidRPr="00110311">
              <w:rPr>
                <w:rFonts w:ascii="Times New Roman" w:hAnsi="Times New Roman"/>
              </w:rPr>
              <w:t>Витрати</w:t>
            </w:r>
            <w:proofErr w:type="spellEnd"/>
            <w:r w:rsidRPr="00110311">
              <w:rPr>
                <w:rFonts w:ascii="Times New Roman" w:hAnsi="Times New Roman"/>
              </w:rPr>
              <w:t xml:space="preserve"> на </w:t>
            </w:r>
            <w:proofErr w:type="spellStart"/>
            <w:r w:rsidRPr="00110311">
              <w:rPr>
                <w:rFonts w:ascii="Times New Roman" w:hAnsi="Times New Roman"/>
              </w:rPr>
              <w:t>збут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</w:tr>
      <w:tr w:rsidR="005D49AE" w:rsidRPr="00110311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110311" w:rsidRDefault="005D49AE" w:rsidP="00AF29CB">
            <w:pPr>
              <w:ind w:right="-92"/>
              <w:rPr>
                <w:rFonts w:ascii="Times New Roman" w:eastAsia="Arial Unicode MS" w:hAnsi="Times New Roman"/>
                <w:b/>
                <w:bCs/>
              </w:rPr>
            </w:pPr>
            <w:proofErr w:type="spellStart"/>
            <w:r w:rsidRPr="00110311">
              <w:rPr>
                <w:rFonts w:ascii="Times New Roman" w:hAnsi="Times New Roman"/>
                <w:b/>
                <w:bCs/>
              </w:rPr>
              <w:t>Всього</w:t>
            </w:r>
            <w:proofErr w:type="spellEnd"/>
            <w:r w:rsidRPr="001103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  <w:b/>
                <w:bCs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0311">
              <w:rPr>
                <w:rFonts w:ascii="Times New Roman" w:hAnsi="Times New Roman"/>
                <w:b/>
                <w:bCs/>
              </w:rPr>
              <w:t>55496,6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0311">
              <w:rPr>
                <w:rFonts w:ascii="Times New Roman" w:hAnsi="Times New Roman"/>
                <w:b/>
                <w:bCs/>
              </w:rPr>
              <w:t>67852,8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</w:rPr>
            </w:pPr>
            <w:r w:rsidRPr="00110311">
              <w:rPr>
                <w:rFonts w:ascii="Times New Roman" w:hAnsi="Times New Roman"/>
                <w:b/>
              </w:rPr>
              <w:t>1,43</w:t>
            </w:r>
          </w:p>
        </w:tc>
      </w:tr>
    </w:tbl>
    <w:p w:rsidR="005D49AE" w:rsidRPr="007476D7" w:rsidRDefault="005D49AE" w:rsidP="005D49AE">
      <w:pPr>
        <w:rPr>
          <w:rFonts w:ascii="Times New Roman" w:hAnsi="Times New Roman"/>
          <w:b/>
          <w:sz w:val="28"/>
          <w:szCs w:val="28"/>
        </w:rPr>
      </w:pPr>
    </w:p>
    <w:p w:rsidR="005D49AE" w:rsidRPr="00637ACA" w:rsidRDefault="005D49AE" w:rsidP="005D49AE">
      <w:pPr>
        <w:ind w:right="-172"/>
        <w:jc w:val="both"/>
        <w:rPr>
          <w:rFonts w:ascii="Times New Roman" w:hAnsi="Times New Roman"/>
          <w:sz w:val="28"/>
          <w:szCs w:val="28"/>
        </w:rPr>
      </w:pPr>
      <w:r w:rsidRPr="007476D7">
        <w:rPr>
          <w:rFonts w:ascii="Times New Roman" w:hAnsi="Times New Roman"/>
          <w:b/>
          <w:sz w:val="28"/>
          <w:szCs w:val="28"/>
        </w:rPr>
        <w:t xml:space="preserve"> </w:t>
      </w:r>
      <w:r w:rsidRPr="007476D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37ACA">
        <w:rPr>
          <w:rFonts w:ascii="Times New Roman" w:hAnsi="Times New Roman"/>
          <w:sz w:val="28"/>
          <w:szCs w:val="28"/>
        </w:rPr>
        <w:t>Витрати</w:t>
      </w:r>
      <w:proofErr w:type="spellEnd"/>
      <w:r w:rsidRPr="00637ACA">
        <w:rPr>
          <w:rFonts w:ascii="Times New Roman" w:hAnsi="Times New Roman"/>
          <w:sz w:val="28"/>
          <w:szCs w:val="28"/>
        </w:rPr>
        <w:t xml:space="preserve"> на 1 грн. доходу </w:t>
      </w:r>
      <w:proofErr w:type="spellStart"/>
      <w:r w:rsidRPr="00637ACA">
        <w:rPr>
          <w:rFonts w:ascii="Times New Roman" w:hAnsi="Times New Roman"/>
          <w:sz w:val="28"/>
          <w:szCs w:val="28"/>
        </w:rPr>
        <w:t>збільшилися</w:t>
      </w:r>
      <w:proofErr w:type="spellEnd"/>
      <w:r w:rsidRPr="00637AC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37ACA">
        <w:rPr>
          <w:rFonts w:ascii="Times New Roman" w:hAnsi="Times New Roman"/>
          <w:sz w:val="28"/>
          <w:szCs w:val="28"/>
        </w:rPr>
        <w:t>період</w:t>
      </w:r>
      <w:proofErr w:type="spellEnd"/>
      <w:r w:rsidRPr="0063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р. </w:t>
      </w:r>
      <w:proofErr w:type="spellStart"/>
      <w:r>
        <w:rPr>
          <w:rFonts w:ascii="Times New Roman" w:hAnsi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/>
          <w:sz w:val="28"/>
          <w:szCs w:val="28"/>
        </w:rPr>
        <w:t xml:space="preserve"> з 2022</w:t>
      </w:r>
      <w:r w:rsidRPr="00637ACA">
        <w:rPr>
          <w:rFonts w:ascii="Times New Roman" w:hAnsi="Times New Roman"/>
          <w:sz w:val="28"/>
          <w:szCs w:val="28"/>
        </w:rPr>
        <w:t xml:space="preserve"> р. на </w:t>
      </w:r>
      <w:r>
        <w:rPr>
          <w:rFonts w:ascii="Times New Roman" w:hAnsi="Times New Roman"/>
          <w:sz w:val="28"/>
          <w:szCs w:val="28"/>
        </w:rPr>
        <w:t>4,4</w:t>
      </w:r>
      <w:r w:rsidRPr="00637ACA">
        <w:rPr>
          <w:rFonts w:ascii="Times New Roman" w:hAnsi="Times New Roman"/>
          <w:sz w:val="28"/>
          <w:szCs w:val="28"/>
        </w:rPr>
        <w:t xml:space="preserve"> %, в т.ч.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амортизаційні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45,4</w:t>
      </w:r>
      <w:proofErr w:type="gramStart"/>
      <w:r>
        <w:rPr>
          <w:rFonts w:ascii="Times New Roman" w:hAnsi="Times New Roman"/>
          <w:sz w:val="28"/>
          <w:szCs w:val="28"/>
        </w:rPr>
        <w:t>%;</w:t>
      </w:r>
      <w:proofErr w:type="spellStart"/>
      <w:r>
        <w:rPr>
          <w:rFonts w:ascii="Times New Roman" w:hAnsi="Times New Roman"/>
          <w:sz w:val="28"/>
          <w:szCs w:val="28"/>
        </w:rPr>
        <w:t>реагенти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37,5% на</w:t>
      </w:r>
      <w:r w:rsidRPr="00637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ACA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11,9%</w:t>
      </w:r>
      <w:r w:rsidRPr="00637ACA">
        <w:rPr>
          <w:rFonts w:ascii="Times New Roman" w:hAnsi="Times New Roman"/>
          <w:sz w:val="28"/>
          <w:szCs w:val="28"/>
        </w:rPr>
        <w:t xml:space="preserve"> </w:t>
      </w:r>
    </w:p>
    <w:p w:rsidR="005D49AE" w:rsidRPr="00BB62C6" w:rsidRDefault="005D49AE" w:rsidP="005D49A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D49AE" w:rsidRPr="002B1CAE" w:rsidRDefault="005D49AE" w:rsidP="005D49AE">
      <w:pPr>
        <w:ind w:left="2832" w:firstLine="708"/>
        <w:rPr>
          <w:rFonts w:ascii="Times New Roman" w:hAnsi="Times New Roman"/>
          <w:b/>
          <w:sz w:val="20"/>
          <w:szCs w:val="28"/>
        </w:rPr>
      </w:pPr>
    </w:p>
    <w:p w:rsidR="005D49AE" w:rsidRPr="00110311" w:rsidRDefault="005D49AE" w:rsidP="005D49A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0311">
        <w:rPr>
          <w:rFonts w:ascii="Times New Roman" w:hAnsi="Times New Roman"/>
          <w:b/>
          <w:sz w:val="24"/>
          <w:szCs w:val="24"/>
        </w:rPr>
        <w:t>Електроенергія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собівартості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виробництва</w:t>
      </w:r>
      <w:proofErr w:type="spellEnd"/>
    </w:p>
    <w:p w:rsidR="005D49AE" w:rsidRPr="002B1CAE" w:rsidRDefault="005D49AE" w:rsidP="005D49AE">
      <w:pPr>
        <w:rPr>
          <w:rFonts w:ascii="Times New Roman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2160"/>
      </w:tblGrid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11">
              <w:rPr>
                <w:rFonts w:ascii="Times New Roman" w:hAnsi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11">
              <w:rPr>
                <w:rFonts w:ascii="Times New Roman" w:hAnsi="Times New Roman"/>
                <w:b/>
                <w:sz w:val="24"/>
                <w:szCs w:val="24"/>
              </w:rPr>
              <w:t>2023р.</w:t>
            </w:r>
          </w:p>
        </w:tc>
      </w:tr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тис.кВт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3409,5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3093,9</w:t>
            </w:r>
          </w:p>
        </w:tc>
      </w:tr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Питомі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Квт/год /м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0,661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0,554</w:t>
            </w:r>
          </w:p>
        </w:tc>
      </w:tr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 кВт /год /м</w:t>
            </w:r>
            <w:r w:rsidRPr="001103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1,016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</w:tr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0311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без ПДВ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16956,4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17557,2</w:t>
            </w:r>
          </w:p>
        </w:tc>
      </w:tr>
      <w:tr w:rsidR="005D49AE" w:rsidRPr="00110311" w:rsidTr="00AF29CB">
        <w:tc>
          <w:tcPr>
            <w:tcW w:w="4788" w:type="dxa"/>
          </w:tcPr>
          <w:p w:rsidR="005D49AE" w:rsidRPr="00110311" w:rsidRDefault="005D49AE" w:rsidP="00AF29CB">
            <w:pPr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Питома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вага в </w:t>
            </w:r>
            <w:proofErr w:type="spellStart"/>
            <w:r w:rsidRPr="00110311">
              <w:rPr>
                <w:rFonts w:ascii="Times New Roman" w:hAnsi="Times New Roman"/>
                <w:sz w:val="24"/>
                <w:szCs w:val="24"/>
              </w:rPr>
              <w:t>собівартості</w:t>
            </w:r>
            <w:proofErr w:type="spellEnd"/>
            <w:r w:rsidRPr="00110311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160" w:type="dxa"/>
          </w:tcPr>
          <w:p w:rsidR="005D49AE" w:rsidRPr="00110311" w:rsidRDefault="005D49AE" w:rsidP="00AF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1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</w:tbl>
    <w:p w:rsidR="005D49AE" w:rsidRPr="007476D7" w:rsidRDefault="005D49AE" w:rsidP="005D49AE">
      <w:pPr>
        <w:jc w:val="both"/>
        <w:rPr>
          <w:rFonts w:ascii="Times New Roman" w:hAnsi="Times New Roman"/>
          <w:sz w:val="28"/>
          <w:szCs w:val="28"/>
        </w:rPr>
      </w:pPr>
      <w:r w:rsidRPr="007476D7">
        <w:rPr>
          <w:rFonts w:ascii="Times New Roman" w:hAnsi="Times New Roman"/>
          <w:sz w:val="28"/>
          <w:szCs w:val="28"/>
        </w:rPr>
        <w:t xml:space="preserve">  </w:t>
      </w:r>
    </w:p>
    <w:p w:rsidR="005D49AE" w:rsidRDefault="005D49AE" w:rsidP="005D49AE">
      <w:pPr>
        <w:jc w:val="both"/>
        <w:rPr>
          <w:rFonts w:ascii="Times New Roman" w:hAnsi="Times New Roman"/>
          <w:sz w:val="28"/>
          <w:szCs w:val="28"/>
        </w:rPr>
      </w:pPr>
      <w:r w:rsidRPr="007476D7">
        <w:rPr>
          <w:rFonts w:ascii="Times New Roman" w:hAnsi="Times New Roman"/>
          <w:sz w:val="28"/>
          <w:szCs w:val="28"/>
        </w:rPr>
        <w:tab/>
      </w:r>
      <w:proofErr w:type="spellStart"/>
      <w:r w:rsidRPr="00C20235">
        <w:rPr>
          <w:rFonts w:ascii="Times New Roman" w:hAnsi="Times New Roman"/>
          <w:sz w:val="28"/>
          <w:szCs w:val="28"/>
        </w:rPr>
        <w:t>Витрати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0235">
        <w:rPr>
          <w:rFonts w:ascii="Times New Roman" w:hAnsi="Times New Roman"/>
          <w:sz w:val="28"/>
          <w:szCs w:val="28"/>
        </w:rPr>
        <w:t>абсолютній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0235">
        <w:rPr>
          <w:rFonts w:ascii="Times New Roman" w:hAnsi="Times New Roman"/>
          <w:sz w:val="28"/>
          <w:szCs w:val="28"/>
        </w:rPr>
        <w:t>величині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0235">
        <w:rPr>
          <w:rFonts w:ascii="Times New Roman" w:hAnsi="Times New Roman"/>
          <w:sz w:val="28"/>
          <w:szCs w:val="28"/>
        </w:rPr>
        <w:t>зменшилися</w:t>
      </w:r>
      <w:proofErr w:type="spellEnd"/>
      <w:proofErr w:type="gramEnd"/>
      <w:r w:rsidRPr="00C20235">
        <w:rPr>
          <w:rFonts w:ascii="Times New Roman" w:hAnsi="Times New Roman"/>
          <w:sz w:val="28"/>
          <w:szCs w:val="28"/>
        </w:rPr>
        <w:t xml:space="preserve">   на               </w:t>
      </w:r>
      <w:r>
        <w:rPr>
          <w:rFonts w:ascii="Times New Roman" w:hAnsi="Times New Roman"/>
          <w:sz w:val="28"/>
          <w:szCs w:val="28"/>
        </w:rPr>
        <w:t>315,6</w:t>
      </w:r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тис.кВт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/год,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20235">
        <w:rPr>
          <w:rFonts w:ascii="Times New Roman" w:hAnsi="Times New Roman"/>
          <w:sz w:val="28"/>
          <w:szCs w:val="28"/>
        </w:rPr>
        <w:t>итомі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витрати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0235">
        <w:rPr>
          <w:rFonts w:ascii="Times New Roman" w:hAnsi="Times New Roman"/>
          <w:sz w:val="28"/>
          <w:szCs w:val="28"/>
        </w:rPr>
        <w:t>зменшилися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 на  </w:t>
      </w:r>
      <w:r>
        <w:rPr>
          <w:rFonts w:ascii="Times New Roman" w:hAnsi="Times New Roman"/>
          <w:sz w:val="28"/>
          <w:szCs w:val="28"/>
        </w:rPr>
        <w:t>0,107</w:t>
      </w:r>
      <w:r w:rsidRPr="00C20235">
        <w:rPr>
          <w:rFonts w:ascii="Times New Roman" w:hAnsi="Times New Roman"/>
          <w:sz w:val="28"/>
          <w:szCs w:val="28"/>
        </w:rPr>
        <w:t xml:space="preserve"> кВт/год/м</w:t>
      </w:r>
      <w:r w:rsidRPr="00C2023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  на  </w:t>
      </w:r>
      <w:r>
        <w:rPr>
          <w:rFonts w:ascii="Times New Roman" w:hAnsi="Times New Roman"/>
          <w:sz w:val="28"/>
          <w:szCs w:val="28"/>
        </w:rPr>
        <w:t xml:space="preserve">0,048 </w:t>
      </w:r>
      <w:r w:rsidRPr="00C20235">
        <w:rPr>
          <w:rFonts w:ascii="Times New Roman" w:hAnsi="Times New Roman"/>
          <w:sz w:val="28"/>
          <w:szCs w:val="28"/>
        </w:rPr>
        <w:t xml:space="preserve"> кВт/год/м</w:t>
      </w:r>
      <w:r w:rsidRPr="00C2023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сумарному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вираженні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витрати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235">
        <w:rPr>
          <w:rFonts w:ascii="Times New Roman" w:hAnsi="Times New Roman"/>
          <w:sz w:val="28"/>
          <w:szCs w:val="28"/>
        </w:rPr>
        <w:t>збільшилися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на  600,8</w:t>
      </w:r>
      <w:r w:rsidRPr="00C202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0235">
        <w:rPr>
          <w:rFonts w:ascii="Times New Roman" w:hAnsi="Times New Roman"/>
          <w:sz w:val="28"/>
          <w:szCs w:val="28"/>
        </w:rPr>
        <w:t>тис.грн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20235">
        <w:rPr>
          <w:rFonts w:ascii="Times New Roman" w:hAnsi="Times New Roman"/>
          <w:sz w:val="28"/>
          <w:szCs w:val="28"/>
        </w:rPr>
        <w:t>питома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вага в </w:t>
      </w:r>
      <w:proofErr w:type="spellStart"/>
      <w:r w:rsidRPr="00C20235">
        <w:rPr>
          <w:rFonts w:ascii="Times New Roman" w:hAnsi="Times New Roman"/>
          <w:sz w:val="28"/>
          <w:szCs w:val="28"/>
        </w:rPr>
        <w:t>собівартості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</w:t>
      </w:r>
      <w:r w:rsidRPr="00C20235">
        <w:rPr>
          <w:rFonts w:ascii="Times New Roman" w:hAnsi="Times New Roman"/>
          <w:sz w:val="28"/>
          <w:szCs w:val="28"/>
        </w:rPr>
        <w:t>шилася</w:t>
      </w:r>
      <w:proofErr w:type="spellEnd"/>
      <w:r w:rsidRPr="00C20235">
        <w:rPr>
          <w:rFonts w:ascii="Times New Roman" w:hAnsi="Times New Roman"/>
          <w:sz w:val="28"/>
          <w:szCs w:val="28"/>
        </w:rPr>
        <w:t xml:space="preserve"> на </w:t>
      </w:r>
      <w:r w:rsidRPr="0040171C">
        <w:rPr>
          <w:rFonts w:ascii="Times New Roman" w:hAnsi="Times New Roman"/>
          <w:sz w:val="28"/>
          <w:szCs w:val="28"/>
        </w:rPr>
        <w:t xml:space="preserve">15,3 %. з  30,6% за 2022р. до 25,9 % за 2023 </w:t>
      </w:r>
      <w:proofErr w:type="spellStart"/>
      <w:r w:rsidRPr="0040171C">
        <w:rPr>
          <w:rFonts w:ascii="Times New Roman" w:hAnsi="Times New Roman"/>
          <w:sz w:val="28"/>
          <w:szCs w:val="28"/>
        </w:rPr>
        <w:t>рік</w:t>
      </w:r>
      <w:proofErr w:type="spellEnd"/>
      <w:r w:rsidRPr="0040171C">
        <w:rPr>
          <w:rFonts w:ascii="Times New Roman" w:hAnsi="Times New Roman"/>
          <w:sz w:val="28"/>
          <w:szCs w:val="28"/>
        </w:rPr>
        <w:t>.</w:t>
      </w:r>
    </w:p>
    <w:p w:rsidR="005D49AE" w:rsidRPr="0040171C" w:rsidRDefault="005D49AE" w:rsidP="005D4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49AE" w:rsidRPr="00110311" w:rsidRDefault="005D49AE" w:rsidP="005D49A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0311">
        <w:rPr>
          <w:rFonts w:ascii="Times New Roman" w:hAnsi="Times New Roman"/>
          <w:b/>
          <w:sz w:val="24"/>
          <w:szCs w:val="24"/>
        </w:rPr>
        <w:t>Реагенти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110311">
        <w:rPr>
          <w:rFonts w:ascii="Times New Roman" w:hAnsi="Times New Roman"/>
          <w:b/>
          <w:sz w:val="24"/>
          <w:szCs w:val="24"/>
        </w:rPr>
        <w:t>очищення</w:t>
      </w:r>
      <w:proofErr w:type="spellEnd"/>
      <w:r w:rsidRPr="00110311">
        <w:rPr>
          <w:rFonts w:ascii="Times New Roman" w:hAnsi="Times New Roman"/>
          <w:b/>
          <w:sz w:val="24"/>
          <w:szCs w:val="24"/>
        </w:rPr>
        <w:t xml:space="preserve"> води</w:t>
      </w:r>
    </w:p>
    <w:p w:rsidR="005D49AE" w:rsidRPr="002B1CAE" w:rsidRDefault="005D49AE" w:rsidP="005D49AE">
      <w:pPr>
        <w:rPr>
          <w:rFonts w:ascii="Times New Roman" w:hAnsi="Times New Roman"/>
          <w:b/>
          <w:sz w:val="18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850"/>
        <w:gridCol w:w="709"/>
        <w:gridCol w:w="851"/>
        <w:gridCol w:w="708"/>
        <w:gridCol w:w="851"/>
        <w:gridCol w:w="850"/>
        <w:gridCol w:w="993"/>
        <w:gridCol w:w="992"/>
      </w:tblGrid>
      <w:tr w:rsidR="005D49AE" w:rsidRPr="00A2605D" w:rsidTr="00AF29CB">
        <w:tc>
          <w:tcPr>
            <w:tcW w:w="1526" w:type="dxa"/>
          </w:tcPr>
          <w:p w:rsidR="005D49AE" w:rsidRPr="00A2605D" w:rsidRDefault="005D49AE" w:rsidP="00AF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05D">
              <w:rPr>
                <w:rFonts w:ascii="Times New Roman" w:hAnsi="Times New Roman"/>
              </w:rPr>
              <w:t>Магнофлок</w:t>
            </w:r>
            <w:proofErr w:type="spellEnd"/>
          </w:p>
        </w:tc>
        <w:tc>
          <w:tcPr>
            <w:tcW w:w="992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05D">
              <w:rPr>
                <w:rFonts w:ascii="Times New Roman" w:hAnsi="Times New Roman"/>
              </w:rPr>
              <w:t>Гіпохлорид</w:t>
            </w:r>
            <w:proofErr w:type="spellEnd"/>
            <w:r w:rsidRPr="00A2605D">
              <w:rPr>
                <w:rFonts w:ascii="Times New Roman" w:hAnsi="Times New Roman"/>
              </w:rPr>
              <w:t xml:space="preserve"> </w:t>
            </w:r>
            <w:proofErr w:type="spellStart"/>
            <w:r w:rsidRPr="00A2605D">
              <w:rPr>
                <w:rFonts w:ascii="Times New Roman" w:hAnsi="Times New Roman"/>
              </w:rPr>
              <w:t>натрію</w:t>
            </w:r>
            <w:proofErr w:type="spellEnd"/>
          </w:p>
        </w:tc>
        <w:tc>
          <w:tcPr>
            <w:tcW w:w="850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A2605D">
              <w:rPr>
                <w:rFonts w:ascii="Times New Roman" w:hAnsi="Times New Roman"/>
              </w:rPr>
              <w:t xml:space="preserve">Сульфат </w:t>
            </w:r>
            <w:proofErr w:type="spellStart"/>
            <w:r w:rsidRPr="00A2605D">
              <w:rPr>
                <w:rFonts w:ascii="Times New Roman" w:hAnsi="Times New Roman"/>
              </w:rPr>
              <w:t>алюмінія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05D">
              <w:rPr>
                <w:rFonts w:ascii="Times New Roman" w:hAnsi="Times New Roman"/>
              </w:rPr>
              <w:t>Сіль</w:t>
            </w:r>
            <w:proofErr w:type="spellEnd"/>
          </w:p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 w:rsidRPr="00A2605D">
              <w:rPr>
                <w:rFonts w:ascii="Times New Roman" w:hAnsi="Times New Roman"/>
              </w:rPr>
              <w:t>табл.</w:t>
            </w:r>
          </w:p>
        </w:tc>
        <w:tc>
          <w:tcPr>
            <w:tcW w:w="851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Bukoflock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AP-34</w:t>
            </w:r>
          </w:p>
        </w:tc>
        <w:tc>
          <w:tcPr>
            <w:tcW w:w="708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Рідкий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коагулянт</w:t>
            </w:r>
            <w:r>
              <w:rPr>
                <w:rFonts w:ascii="Times New Roman" w:hAnsi="Times New Roman"/>
              </w:rPr>
              <w:t xml:space="preserve"> </w:t>
            </w:r>
            <w:r w:rsidRPr="004C6F8D">
              <w:rPr>
                <w:rFonts w:ascii="Times New Roman" w:hAnsi="Times New Roman"/>
                <w:szCs w:val="16"/>
              </w:rPr>
              <w:t>РAK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  <w:lang w:val="en-US"/>
              </w:rPr>
              <w:t>Activ</w:t>
            </w:r>
            <w:proofErr w:type="spellEnd"/>
          </w:p>
        </w:tc>
        <w:tc>
          <w:tcPr>
            <w:tcW w:w="851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05D">
              <w:rPr>
                <w:rFonts w:ascii="Times New Roman" w:hAnsi="Times New Roman"/>
              </w:rPr>
              <w:t>Сіль</w:t>
            </w:r>
            <w:proofErr w:type="spellEnd"/>
          </w:p>
        </w:tc>
        <w:tc>
          <w:tcPr>
            <w:tcW w:w="850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Хлорид </w:t>
            </w:r>
            <w:proofErr w:type="spellStart"/>
            <w:r w:rsidRPr="0087088D">
              <w:rPr>
                <w:rFonts w:ascii="Times New Roman" w:hAnsi="Times New Roman"/>
                <w:sz w:val="18"/>
                <w:szCs w:val="18"/>
              </w:rPr>
              <w:t>поліалюмін</w:t>
            </w:r>
            <w:r>
              <w:rPr>
                <w:rFonts w:ascii="Times New Roman" w:hAnsi="Times New Roman"/>
                <w:sz w:val="18"/>
                <w:szCs w:val="18"/>
              </w:rPr>
              <w:t>ію</w:t>
            </w:r>
            <w:proofErr w:type="spellEnd"/>
          </w:p>
        </w:tc>
        <w:tc>
          <w:tcPr>
            <w:tcW w:w="993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05D">
              <w:rPr>
                <w:rFonts w:ascii="Times New Roman" w:hAnsi="Times New Roman"/>
              </w:rPr>
              <w:t>Гідроксихлорид</w:t>
            </w:r>
            <w:proofErr w:type="spellEnd"/>
            <w:r w:rsidRPr="00A2605D">
              <w:rPr>
                <w:rFonts w:ascii="Times New Roman" w:hAnsi="Times New Roman"/>
              </w:rPr>
              <w:t xml:space="preserve"> </w:t>
            </w:r>
            <w:proofErr w:type="spellStart"/>
            <w:r w:rsidRPr="00A2605D">
              <w:rPr>
                <w:rFonts w:ascii="Times New Roman" w:hAnsi="Times New Roman"/>
              </w:rPr>
              <w:t>алюмінію</w:t>
            </w:r>
            <w:proofErr w:type="spellEnd"/>
          </w:p>
        </w:tc>
        <w:tc>
          <w:tcPr>
            <w:tcW w:w="992" w:type="dxa"/>
            <w:vAlign w:val="center"/>
          </w:tcPr>
          <w:p w:rsidR="005D49AE" w:rsidRPr="007063CD" w:rsidRDefault="005D49AE" w:rsidP="00AF29C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Всього</w:t>
            </w:r>
            <w:proofErr w:type="spellEnd"/>
          </w:p>
        </w:tc>
      </w:tr>
      <w:tr w:rsidR="005D49AE" w:rsidRPr="00A2605D" w:rsidTr="00AF29CB">
        <w:tc>
          <w:tcPr>
            <w:tcW w:w="9039" w:type="dxa"/>
            <w:gridSpan w:val="10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4"/>
              </w:rPr>
            </w:pPr>
            <w:r w:rsidRPr="004C6F8D">
              <w:rPr>
                <w:rFonts w:ascii="Times New Roman" w:hAnsi="Times New Roman"/>
                <w:sz w:val="24"/>
              </w:rPr>
              <w:t xml:space="preserve"> 2022 </w:t>
            </w:r>
            <w:proofErr w:type="spellStart"/>
            <w:r w:rsidRPr="004C6F8D">
              <w:rPr>
                <w:rFonts w:ascii="Times New Roman" w:hAnsi="Times New Roman"/>
                <w:sz w:val="24"/>
              </w:rPr>
              <w:t>рік</w:t>
            </w:r>
            <w:proofErr w:type="spellEnd"/>
          </w:p>
        </w:tc>
        <w:tc>
          <w:tcPr>
            <w:tcW w:w="992" w:type="dxa"/>
          </w:tcPr>
          <w:p w:rsidR="005D49AE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</w:tr>
      <w:tr w:rsidR="005D49AE" w:rsidRPr="00A2605D" w:rsidTr="00AF29CB">
        <w:tc>
          <w:tcPr>
            <w:tcW w:w="1526" w:type="dxa"/>
          </w:tcPr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57,03</w:t>
            </w:r>
          </w:p>
        </w:tc>
        <w:tc>
          <w:tcPr>
            <w:tcW w:w="850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34,88</w:t>
            </w:r>
          </w:p>
        </w:tc>
        <w:tc>
          <w:tcPr>
            <w:tcW w:w="709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851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850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48,31</w:t>
            </w:r>
          </w:p>
        </w:tc>
        <w:tc>
          <w:tcPr>
            <w:tcW w:w="992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181,18</w:t>
            </w:r>
          </w:p>
        </w:tc>
      </w:tr>
      <w:tr w:rsidR="005D49AE" w:rsidRPr="00A2605D" w:rsidTr="00AF29CB">
        <w:tc>
          <w:tcPr>
            <w:tcW w:w="1526" w:type="dxa"/>
          </w:tcPr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без ПДВ</w:t>
            </w:r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1297,5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440,6</w:t>
            </w:r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164,1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993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1114,2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3386,3</w:t>
            </w:r>
          </w:p>
        </w:tc>
      </w:tr>
      <w:tr w:rsidR="005D49AE" w:rsidRPr="00A2605D" w:rsidTr="00AF29CB">
        <w:tc>
          <w:tcPr>
            <w:tcW w:w="1526" w:type="dxa"/>
          </w:tcPr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на 1м</w:t>
            </w:r>
            <w:r w:rsidRPr="004C6F8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C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піднятої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води/</w:t>
            </w: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22,81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13,95</w:t>
            </w:r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72,46</w:t>
            </w:r>
          </w:p>
        </w:tc>
      </w:tr>
      <w:tr w:rsidR="005D49AE" w:rsidRPr="00A2605D" w:rsidTr="00AF29CB">
        <w:tc>
          <w:tcPr>
            <w:tcW w:w="9039" w:type="dxa"/>
            <w:gridSpan w:val="10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4"/>
              </w:rPr>
            </w:pPr>
            <w:r w:rsidRPr="004C6F8D">
              <w:rPr>
                <w:rFonts w:ascii="Times New Roman" w:hAnsi="Times New Roman"/>
                <w:sz w:val="24"/>
              </w:rPr>
              <w:t xml:space="preserve"> 2023 </w:t>
            </w:r>
            <w:proofErr w:type="spellStart"/>
            <w:r w:rsidRPr="004C6F8D">
              <w:rPr>
                <w:rFonts w:ascii="Times New Roman" w:hAnsi="Times New Roman"/>
                <w:sz w:val="24"/>
              </w:rPr>
              <w:t>рік</w:t>
            </w:r>
            <w:proofErr w:type="spellEnd"/>
          </w:p>
        </w:tc>
        <w:tc>
          <w:tcPr>
            <w:tcW w:w="992" w:type="dxa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E" w:rsidRPr="00A2605D" w:rsidTr="00AF29CB">
        <w:tc>
          <w:tcPr>
            <w:tcW w:w="1526" w:type="dxa"/>
          </w:tcPr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  <w:r w:rsidRPr="004C6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1,7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47,85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104,72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183</w:t>
            </w:r>
            <w:r>
              <w:rPr>
                <w:rFonts w:ascii="Times New Roman" w:hAnsi="Times New Roman"/>
                <w:sz w:val="20"/>
                <w:szCs w:val="20"/>
              </w:rPr>
              <w:t>,49</w:t>
            </w:r>
          </w:p>
        </w:tc>
      </w:tr>
      <w:tr w:rsidR="005D49AE" w:rsidRPr="00A2605D" w:rsidTr="00AF29CB">
        <w:tc>
          <w:tcPr>
            <w:tcW w:w="1526" w:type="dxa"/>
          </w:tcPr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без ПДВ</w:t>
            </w:r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201,23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417,14</w:t>
            </w:r>
          </w:p>
        </w:tc>
        <w:tc>
          <w:tcPr>
            <w:tcW w:w="709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18,0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23,63</w:t>
            </w:r>
          </w:p>
        </w:tc>
        <w:tc>
          <w:tcPr>
            <w:tcW w:w="708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851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8D">
              <w:rPr>
                <w:rFonts w:ascii="Times New Roman" w:hAnsi="Times New Roman"/>
                <w:sz w:val="20"/>
                <w:szCs w:val="20"/>
              </w:rPr>
              <w:t>528,3</w:t>
            </w:r>
          </w:p>
        </w:tc>
        <w:tc>
          <w:tcPr>
            <w:tcW w:w="850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C6F8D">
              <w:rPr>
                <w:rFonts w:ascii="Times New Roman" w:hAnsi="Times New Roman"/>
                <w:sz w:val="20"/>
                <w:szCs w:val="20"/>
              </w:rPr>
              <w:t>544,24</w:t>
            </w:r>
          </w:p>
        </w:tc>
        <w:tc>
          <w:tcPr>
            <w:tcW w:w="992" w:type="dxa"/>
            <w:vAlign w:val="center"/>
          </w:tcPr>
          <w:p w:rsidR="005D49AE" w:rsidRPr="004C6F8D" w:rsidRDefault="005D49AE" w:rsidP="00AF29C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4981,41</w:t>
            </w:r>
          </w:p>
        </w:tc>
      </w:tr>
      <w:tr w:rsidR="005D49AE" w:rsidRPr="00A2605D" w:rsidTr="00AF29CB">
        <w:tc>
          <w:tcPr>
            <w:tcW w:w="1526" w:type="dxa"/>
          </w:tcPr>
          <w:p w:rsidR="005D49AE" w:rsidRPr="004C6F8D" w:rsidRDefault="005D49AE" w:rsidP="00AF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на 1м</w:t>
            </w:r>
            <w:r w:rsidRPr="004C6F8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C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піднятої</w:t>
            </w:r>
            <w:proofErr w:type="spellEnd"/>
            <w:r w:rsidRPr="004C6F8D">
              <w:rPr>
                <w:rFonts w:ascii="Times New Roman" w:hAnsi="Times New Roman"/>
                <w:sz w:val="20"/>
                <w:szCs w:val="20"/>
              </w:rPr>
              <w:t xml:space="preserve"> води/ </w:t>
            </w:r>
            <w:proofErr w:type="spellStart"/>
            <w:r w:rsidRPr="004C6F8D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2,59</w:t>
            </w:r>
          </w:p>
        </w:tc>
        <w:tc>
          <w:tcPr>
            <w:tcW w:w="850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5,91</w:t>
            </w:r>
          </w:p>
        </w:tc>
        <w:tc>
          <w:tcPr>
            <w:tcW w:w="709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1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851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18,48</w:t>
            </w:r>
          </w:p>
        </w:tc>
        <w:tc>
          <w:tcPr>
            <w:tcW w:w="850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40,45</w:t>
            </w:r>
          </w:p>
        </w:tc>
        <w:tc>
          <w:tcPr>
            <w:tcW w:w="992" w:type="dxa"/>
            <w:vAlign w:val="center"/>
          </w:tcPr>
          <w:p w:rsidR="005D49AE" w:rsidRPr="00A2605D" w:rsidRDefault="005D49AE" w:rsidP="00AF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70,86</w:t>
            </w:r>
          </w:p>
        </w:tc>
      </w:tr>
    </w:tbl>
    <w:p w:rsidR="005D49AE" w:rsidRPr="002B1CAE" w:rsidRDefault="005D49AE" w:rsidP="005D49AE">
      <w:pPr>
        <w:ind w:firstLine="708"/>
        <w:jc w:val="both"/>
        <w:rPr>
          <w:rFonts w:ascii="Times New Roman" w:hAnsi="Times New Roman"/>
          <w:sz w:val="8"/>
          <w:szCs w:val="28"/>
        </w:rPr>
      </w:pPr>
    </w:p>
    <w:p w:rsidR="005D49AE" w:rsidRPr="007476D7" w:rsidRDefault="005D49AE" w:rsidP="005D49A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49AE" w:rsidRPr="00110311" w:rsidRDefault="005D49AE" w:rsidP="005D49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sz w:val="24"/>
          <w:szCs w:val="24"/>
        </w:rPr>
        <w:t xml:space="preserve">За   2023 р. </w:t>
      </w:r>
      <w:proofErr w:type="spellStart"/>
      <w:r w:rsidRPr="00110311">
        <w:rPr>
          <w:rFonts w:ascii="Times New Roman" w:hAnsi="Times New Roman"/>
          <w:sz w:val="24"/>
          <w:szCs w:val="24"/>
        </w:rPr>
        <w:t>використано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183,49 т.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суму 4 981,41 тис. грн. без </w:t>
      </w:r>
      <w:proofErr w:type="gramStart"/>
      <w:r w:rsidRPr="00110311">
        <w:rPr>
          <w:rFonts w:ascii="Times New Roman" w:hAnsi="Times New Roman"/>
          <w:sz w:val="24"/>
          <w:szCs w:val="24"/>
        </w:rPr>
        <w:t xml:space="preserve">ПДВ,  </w:t>
      </w:r>
      <w:proofErr w:type="spellStart"/>
      <w:r w:rsidRPr="00110311">
        <w:rPr>
          <w:rFonts w:ascii="Times New Roman" w:hAnsi="Times New Roman"/>
          <w:sz w:val="24"/>
          <w:szCs w:val="24"/>
        </w:rPr>
        <w:t>це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 на 2,31 т. </w:t>
      </w:r>
      <w:proofErr w:type="spellStart"/>
      <w:r w:rsidRPr="00110311">
        <w:rPr>
          <w:rFonts w:ascii="Times New Roman" w:hAnsi="Times New Roman"/>
          <w:sz w:val="24"/>
          <w:szCs w:val="24"/>
        </w:rPr>
        <w:t>більше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ніж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 за  2022 р.,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1,3%. В </w:t>
      </w:r>
      <w:proofErr w:type="spellStart"/>
      <w:r w:rsidRPr="00110311">
        <w:rPr>
          <w:rFonts w:ascii="Times New Roman" w:hAnsi="Times New Roman"/>
          <w:sz w:val="24"/>
          <w:szCs w:val="24"/>
        </w:rPr>
        <w:t>сумі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1595,1 </w:t>
      </w:r>
      <w:proofErr w:type="spellStart"/>
      <w:r w:rsidRPr="00110311">
        <w:rPr>
          <w:rFonts w:ascii="Times New Roman" w:hAnsi="Times New Roman"/>
          <w:sz w:val="24"/>
          <w:szCs w:val="24"/>
        </w:rPr>
        <w:t>тис.грн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10311">
        <w:rPr>
          <w:rFonts w:ascii="Times New Roman" w:hAnsi="Times New Roman"/>
          <w:sz w:val="24"/>
          <w:szCs w:val="24"/>
        </w:rPr>
        <w:t>більше,або</w:t>
      </w:r>
      <w:proofErr w:type="spellEnd"/>
      <w:proofErr w:type="gramEnd"/>
      <w:r w:rsidRPr="00110311">
        <w:rPr>
          <w:rFonts w:ascii="Times New Roman" w:hAnsi="Times New Roman"/>
          <w:sz w:val="24"/>
          <w:szCs w:val="24"/>
        </w:rPr>
        <w:t xml:space="preserve"> на 47,1%  </w:t>
      </w:r>
      <w:proofErr w:type="spellStart"/>
      <w:r w:rsidRPr="00110311">
        <w:rPr>
          <w:rFonts w:ascii="Times New Roman" w:hAnsi="Times New Roman"/>
          <w:sz w:val="24"/>
          <w:szCs w:val="24"/>
        </w:rPr>
        <w:t>Витрати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піднятої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води за 2022р. </w:t>
      </w:r>
      <w:proofErr w:type="spellStart"/>
      <w:r w:rsidRPr="00110311">
        <w:rPr>
          <w:rFonts w:ascii="Times New Roman" w:hAnsi="Times New Roman"/>
          <w:sz w:val="24"/>
          <w:szCs w:val="24"/>
        </w:rPr>
        <w:t>становлять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72,46 </w:t>
      </w:r>
      <w:proofErr w:type="spellStart"/>
      <w:r w:rsidRPr="00110311">
        <w:rPr>
          <w:rFonts w:ascii="Times New Roman" w:hAnsi="Times New Roman"/>
          <w:sz w:val="24"/>
          <w:szCs w:val="24"/>
        </w:rPr>
        <w:t>грам</w:t>
      </w:r>
      <w:proofErr w:type="spellEnd"/>
      <w:r w:rsidRPr="00110311">
        <w:rPr>
          <w:rFonts w:ascii="Times New Roman" w:hAnsi="Times New Roman"/>
          <w:sz w:val="24"/>
          <w:szCs w:val="24"/>
        </w:rPr>
        <w:t>/м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, за   2023 р. – 70,86 </w:t>
      </w:r>
      <w:proofErr w:type="spellStart"/>
      <w:r w:rsidRPr="00110311">
        <w:rPr>
          <w:rFonts w:ascii="Times New Roman" w:hAnsi="Times New Roman"/>
          <w:sz w:val="24"/>
          <w:szCs w:val="24"/>
        </w:rPr>
        <w:t>грам</w:t>
      </w:r>
      <w:proofErr w:type="spellEnd"/>
      <w:r w:rsidRPr="00110311">
        <w:rPr>
          <w:rFonts w:ascii="Times New Roman" w:hAnsi="Times New Roman"/>
          <w:sz w:val="24"/>
          <w:szCs w:val="24"/>
        </w:rPr>
        <w:t>/м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. За  2023 р. </w:t>
      </w:r>
      <w:proofErr w:type="spellStart"/>
      <w:r w:rsidRPr="00110311">
        <w:rPr>
          <w:rFonts w:ascii="Times New Roman" w:hAnsi="Times New Roman"/>
          <w:sz w:val="24"/>
          <w:szCs w:val="24"/>
        </w:rPr>
        <w:t>витрати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sz w:val="24"/>
          <w:szCs w:val="24"/>
        </w:rPr>
        <w:t>зменшилися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1,6 </w:t>
      </w:r>
      <w:proofErr w:type="spellStart"/>
      <w:r w:rsidRPr="00110311">
        <w:rPr>
          <w:rFonts w:ascii="Times New Roman" w:hAnsi="Times New Roman"/>
          <w:sz w:val="24"/>
          <w:szCs w:val="24"/>
        </w:rPr>
        <w:t>грам</w:t>
      </w:r>
      <w:proofErr w:type="spellEnd"/>
      <w:r w:rsidRPr="00110311">
        <w:rPr>
          <w:rFonts w:ascii="Times New Roman" w:hAnsi="Times New Roman"/>
          <w:sz w:val="24"/>
          <w:szCs w:val="24"/>
        </w:rPr>
        <w:t>/м</w:t>
      </w:r>
      <w:r w:rsidRPr="00110311">
        <w:rPr>
          <w:rFonts w:ascii="Times New Roman" w:hAnsi="Times New Roman"/>
          <w:sz w:val="24"/>
          <w:szCs w:val="24"/>
          <w:vertAlign w:val="superscript"/>
        </w:rPr>
        <w:t>3</w:t>
      </w:r>
      <w:r w:rsidRPr="00110311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10311">
        <w:rPr>
          <w:rFonts w:ascii="Times New Roman" w:hAnsi="Times New Roman"/>
          <w:sz w:val="24"/>
          <w:szCs w:val="24"/>
        </w:rPr>
        <w:t>або</w:t>
      </w:r>
      <w:proofErr w:type="spellEnd"/>
      <w:r w:rsidRPr="00110311">
        <w:rPr>
          <w:rFonts w:ascii="Times New Roman" w:hAnsi="Times New Roman"/>
          <w:sz w:val="24"/>
          <w:szCs w:val="24"/>
        </w:rPr>
        <w:t xml:space="preserve"> на 2,2 %.</w:t>
      </w:r>
    </w:p>
    <w:p w:rsidR="005D49AE" w:rsidRPr="00110311" w:rsidRDefault="005D49AE" w:rsidP="005D49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9AE" w:rsidRPr="00110311" w:rsidRDefault="005D49AE" w:rsidP="005D49AE">
      <w:pPr>
        <w:jc w:val="both"/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color w:val="000000"/>
          <w:sz w:val="24"/>
          <w:szCs w:val="24"/>
        </w:rPr>
        <w:t xml:space="preserve">      За результатами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в 2023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році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підприємство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отримало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збиток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ліцензійної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- 20257,5 тис. грн.,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частково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перекривається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доходами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отриманої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фінансової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підтримки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19112,8 тис. </w:t>
      </w:r>
      <w:proofErr w:type="gramStart"/>
      <w:r w:rsidRPr="00110311">
        <w:rPr>
          <w:rFonts w:ascii="Times New Roman" w:hAnsi="Times New Roman"/>
          <w:color w:val="000000"/>
          <w:sz w:val="24"/>
          <w:szCs w:val="24"/>
        </w:rPr>
        <w:t>грн.,(</w:t>
      </w:r>
      <w:proofErr w:type="gramEnd"/>
      <w:r w:rsidRPr="00110311">
        <w:rPr>
          <w:rFonts w:ascii="Times New Roman" w:hAnsi="Times New Roman"/>
          <w:color w:val="000000"/>
          <w:sz w:val="24"/>
          <w:szCs w:val="24"/>
        </w:rPr>
        <w:t xml:space="preserve">яка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була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витрачена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на оплату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електроенергії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сумі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– 15068,7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тис.грн;на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виплату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заробітної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плати- 2400,0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тис.грн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. та на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придбання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фільтруючих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 xml:space="preserve"> – 1 644,1 </w:t>
      </w:r>
      <w:proofErr w:type="spellStart"/>
      <w:r w:rsidRPr="00110311">
        <w:rPr>
          <w:rFonts w:ascii="Times New Roman" w:hAnsi="Times New Roman"/>
          <w:color w:val="000000"/>
          <w:sz w:val="24"/>
          <w:szCs w:val="24"/>
        </w:rPr>
        <w:t>тис.грн</w:t>
      </w:r>
      <w:proofErr w:type="spellEnd"/>
      <w:r w:rsidRPr="00110311">
        <w:rPr>
          <w:rFonts w:ascii="Times New Roman" w:hAnsi="Times New Roman"/>
          <w:color w:val="000000"/>
          <w:sz w:val="24"/>
          <w:szCs w:val="24"/>
        </w:rPr>
        <w:t>.).   </w:t>
      </w:r>
    </w:p>
    <w:p w:rsidR="005D49AE" w:rsidRPr="00110311" w:rsidRDefault="005D49AE" w:rsidP="005D49AE">
      <w:pPr>
        <w:pStyle w:val="a9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10311">
        <w:rPr>
          <w:color w:val="000000"/>
          <w:lang w:val="uk-UA"/>
        </w:rPr>
        <w:t xml:space="preserve"> Отримано прибуток </w:t>
      </w:r>
      <w:r w:rsidRPr="00110311">
        <w:rPr>
          <w:lang w:val="uk-UA"/>
        </w:rPr>
        <w:t xml:space="preserve">від здійснення діяльності з абонентського обслуговування  в сумі  265,9 тис. грн.; прибуток від іншої діяльності – 361,9 тис. грн.,  та прибуток  від іншої операційної діяльності в сумі- 7873,1 </w:t>
      </w:r>
      <w:proofErr w:type="spellStart"/>
      <w:r w:rsidRPr="00110311">
        <w:rPr>
          <w:lang w:val="uk-UA"/>
        </w:rPr>
        <w:t>тис.грн.</w:t>
      </w:r>
      <w:r w:rsidRPr="00110311">
        <w:rPr>
          <w:color w:val="000000"/>
          <w:lang w:val="uk-UA"/>
        </w:rPr>
        <w:t>доходів</w:t>
      </w:r>
      <w:proofErr w:type="spellEnd"/>
      <w:r w:rsidRPr="00110311">
        <w:rPr>
          <w:color w:val="000000"/>
          <w:lang w:val="uk-UA"/>
        </w:rPr>
        <w:t xml:space="preserve"> (а саме дохід від цільового фінансування на придбання сонячної електростанції в розмірі -5</w:t>
      </w:r>
      <w:r w:rsidRPr="00110311">
        <w:rPr>
          <w:color w:val="000000"/>
        </w:rPr>
        <w:t> </w:t>
      </w:r>
      <w:r w:rsidRPr="00110311">
        <w:rPr>
          <w:color w:val="000000"/>
          <w:lang w:val="uk-UA"/>
        </w:rPr>
        <w:t xml:space="preserve">051,2 </w:t>
      </w:r>
      <w:proofErr w:type="spellStart"/>
      <w:r w:rsidRPr="00110311">
        <w:rPr>
          <w:color w:val="000000"/>
          <w:lang w:val="uk-UA"/>
        </w:rPr>
        <w:t>тис.грн</w:t>
      </w:r>
      <w:proofErr w:type="spellEnd"/>
      <w:r w:rsidRPr="00110311">
        <w:rPr>
          <w:color w:val="000000"/>
          <w:lang w:val="uk-UA"/>
        </w:rPr>
        <w:t xml:space="preserve">.; та модернізації і поточного ремонту </w:t>
      </w:r>
      <w:proofErr w:type="spellStart"/>
      <w:r w:rsidRPr="00110311">
        <w:rPr>
          <w:color w:val="000000"/>
          <w:lang w:val="uk-UA"/>
        </w:rPr>
        <w:t>бювету</w:t>
      </w:r>
      <w:proofErr w:type="spellEnd"/>
      <w:r w:rsidRPr="00110311">
        <w:rPr>
          <w:color w:val="000000"/>
          <w:lang w:val="uk-UA"/>
        </w:rPr>
        <w:t xml:space="preserve"> питної води по вул. </w:t>
      </w:r>
      <w:r w:rsidRPr="00110311">
        <w:rPr>
          <w:color w:val="000000"/>
        </w:rPr>
        <w:t xml:space="preserve">Ю. </w:t>
      </w:r>
      <w:proofErr w:type="spellStart"/>
      <w:proofErr w:type="gramStart"/>
      <w:r w:rsidRPr="00110311">
        <w:rPr>
          <w:color w:val="000000"/>
        </w:rPr>
        <w:t>Ковальського</w:t>
      </w:r>
      <w:proofErr w:type="spellEnd"/>
      <w:r w:rsidRPr="00110311">
        <w:rPr>
          <w:color w:val="000000"/>
        </w:rPr>
        <w:t>  в</w:t>
      </w:r>
      <w:proofErr w:type="gramEnd"/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сумі</w:t>
      </w:r>
      <w:proofErr w:type="spellEnd"/>
      <w:r w:rsidRPr="00110311">
        <w:rPr>
          <w:color w:val="000000"/>
        </w:rPr>
        <w:t xml:space="preserve"> 469,7 тис. </w:t>
      </w:r>
      <w:proofErr w:type="spellStart"/>
      <w:r w:rsidRPr="00110311">
        <w:rPr>
          <w:color w:val="000000"/>
        </w:rPr>
        <w:t>грн</w:t>
      </w:r>
      <w:proofErr w:type="spellEnd"/>
      <w:r w:rsidRPr="00110311">
        <w:rPr>
          <w:color w:val="000000"/>
        </w:rPr>
        <w:t xml:space="preserve">; </w:t>
      </w:r>
      <w:proofErr w:type="spellStart"/>
      <w:r w:rsidRPr="00110311">
        <w:rPr>
          <w:color w:val="000000"/>
        </w:rPr>
        <w:t>дохід</w:t>
      </w:r>
      <w:proofErr w:type="spellEnd"/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від</w:t>
      </w:r>
      <w:proofErr w:type="spellEnd"/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безоплатно</w:t>
      </w:r>
      <w:proofErr w:type="spellEnd"/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отриманих</w:t>
      </w:r>
      <w:proofErr w:type="spellEnd"/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товаро-матеріальних</w:t>
      </w:r>
      <w:proofErr w:type="spellEnd"/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цінностей</w:t>
      </w:r>
      <w:proofErr w:type="spellEnd"/>
      <w:r w:rsidRPr="00110311">
        <w:rPr>
          <w:color w:val="000000"/>
        </w:rPr>
        <w:t xml:space="preserve"> на суму – 2373,9 </w:t>
      </w:r>
      <w:proofErr w:type="spellStart"/>
      <w:r w:rsidRPr="00110311">
        <w:rPr>
          <w:color w:val="000000"/>
        </w:rPr>
        <w:t>тис.грн</w:t>
      </w:r>
      <w:proofErr w:type="spellEnd"/>
      <w:r w:rsidRPr="00110311">
        <w:rPr>
          <w:color w:val="000000"/>
        </w:rPr>
        <w:t> </w:t>
      </w:r>
      <w:r w:rsidRPr="00110311">
        <w:t xml:space="preserve">та </w:t>
      </w:r>
      <w:proofErr w:type="spellStart"/>
      <w:r w:rsidRPr="00110311">
        <w:t>інших</w:t>
      </w:r>
      <w:proofErr w:type="spellEnd"/>
      <w:r w:rsidRPr="00110311">
        <w:t xml:space="preserve"> </w:t>
      </w:r>
      <w:proofErr w:type="spellStart"/>
      <w:r w:rsidRPr="00110311">
        <w:t>витрат</w:t>
      </w:r>
      <w:proofErr w:type="spellEnd"/>
      <w:r w:rsidRPr="00110311">
        <w:t xml:space="preserve"> та </w:t>
      </w:r>
      <w:proofErr w:type="spellStart"/>
      <w:r w:rsidRPr="00110311">
        <w:t>доходів</w:t>
      </w:r>
      <w:proofErr w:type="spellEnd"/>
      <w:r w:rsidRPr="00110311">
        <w:rPr>
          <w:lang w:val="uk-UA"/>
        </w:rPr>
        <w:t>)</w:t>
      </w:r>
      <w:r w:rsidRPr="00110311">
        <w:rPr>
          <w:color w:val="000000"/>
        </w:rPr>
        <w:t xml:space="preserve"> </w:t>
      </w:r>
      <w:r w:rsidRPr="00110311">
        <w:rPr>
          <w:color w:val="000000"/>
          <w:lang w:val="uk-UA"/>
        </w:rPr>
        <w:t>в результаті чого</w:t>
      </w:r>
      <w:r w:rsidRPr="00110311">
        <w:rPr>
          <w:color w:val="000000"/>
        </w:rPr>
        <w:t xml:space="preserve"> </w:t>
      </w:r>
      <w:r w:rsidRPr="00110311">
        <w:rPr>
          <w:color w:val="000000"/>
          <w:lang w:val="uk-UA"/>
        </w:rPr>
        <w:t xml:space="preserve">  балансовий</w:t>
      </w:r>
      <w:r w:rsidRPr="00110311">
        <w:rPr>
          <w:color w:val="000000"/>
        </w:rPr>
        <w:t xml:space="preserve"> </w:t>
      </w:r>
      <w:proofErr w:type="spellStart"/>
      <w:r w:rsidRPr="00110311">
        <w:rPr>
          <w:color w:val="000000"/>
        </w:rPr>
        <w:t>прибуток</w:t>
      </w:r>
      <w:proofErr w:type="spellEnd"/>
      <w:r w:rsidRPr="00110311">
        <w:rPr>
          <w:color w:val="000000"/>
        </w:rPr>
        <w:t xml:space="preserve"> </w:t>
      </w:r>
      <w:r w:rsidRPr="00110311">
        <w:rPr>
          <w:color w:val="000000"/>
          <w:lang w:val="uk-UA"/>
        </w:rPr>
        <w:t xml:space="preserve"> підприємства за </w:t>
      </w:r>
      <w:r w:rsidRPr="00110311">
        <w:rPr>
          <w:color w:val="000000"/>
        </w:rPr>
        <w:t xml:space="preserve">2023р. </w:t>
      </w:r>
      <w:r w:rsidRPr="00110311">
        <w:rPr>
          <w:color w:val="000000"/>
          <w:lang w:val="uk-UA"/>
        </w:rPr>
        <w:t>становить</w:t>
      </w:r>
      <w:r w:rsidRPr="00110311">
        <w:rPr>
          <w:color w:val="000000"/>
        </w:rPr>
        <w:t xml:space="preserve"> </w:t>
      </w:r>
      <w:r w:rsidRPr="00110311">
        <w:rPr>
          <w:color w:val="000000"/>
          <w:lang w:val="uk-UA"/>
        </w:rPr>
        <w:t xml:space="preserve"> </w:t>
      </w:r>
      <w:r w:rsidRPr="00110311">
        <w:rPr>
          <w:color w:val="000000"/>
        </w:rPr>
        <w:t xml:space="preserve">7355,9 </w:t>
      </w:r>
      <w:proofErr w:type="spellStart"/>
      <w:r w:rsidRPr="00110311">
        <w:rPr>
          <w:color w:val="000000"/>
        </w:rPr>
        <w:t>тис.грн</w:t>
      </w:r>
      <w:proofErr w:type="spellEnd"/>
      <w:r w:rsidRPr="00110311">
        <w:rPr>
          <w:color w:val="000000"/>
        </w:rPr>
        <w:t>.</w:t>
      </w:r>
    </w:p>
    <w:p w:rsidR="002B216A" w:rsidRPr="00110311" w:rsidRDefault="002B216A">
      <w:pPr>
        <w:rPr>
          <w:rFonts w:ascii="Times New Roman" w:hAnsi="Times New Roman"/>
          <w:sz w:val="24"/>
          <w:szCs w:val="24"/>
        </w:rPr>
      </w:pPr>
      <w:r w:rsidRPr="00110311">
        <w:rPr>
          <w:rFonts w:ascii="Times New Roman" w:hAnsi="Times New Roman"/>
          <w:sz w:val="24"/>
          <w:szCs w:val="24"/>
        </w:rPr>
        <w:br w:type="page"/>
      </w:r>
    </w:p>
    <w:p w:rsidR="002B216A" w:rsidRDefault="002B216A" w:rsidP="005D49AE">
      <w:pPr>
        <w:jc w:val="both"/>
        <w:rPr>
          <w:rFonts w:ascii="Times New Roman" w:hAnsi="Times New Roman"/>
          <w:sz w:val="28"/>
          <w:szCs w:val="28"/>
        </w:rPr>
        <w:sectPr w:rsidR="002B216A" w:rsidSect="00110311">
          <w:pgSz w:w="11906" w:h="16838"/>
          <w:pgMar w:top="851" w:right="566" w:bottom="1134" w:left="993" w:header="708" w:footer="708" w:gutter="0"/>
          <w:cols w:space="708"/>
          <w:docGrid w:linePitch="360"/>
        </w:sectPr>
      </w:pP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3794"/>
        <w:gridCol w:w="2268"/>
        <w:gridCol w:w="4961"/>
        <w:gridCol w:w="4253"/>
      </w:tblGrid>
      <w:tr w:rsidR="002B216A" w:rsidRPr="00F96F3F" w:rsidTr="00AF29CB"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16A" w:rsidRDefault="002B216A" w:rsidP="00AF29C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5A2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заходи та об’єкти будівництва за 2023 рік</w:t>
            </w:r>
          </w:p>
          <w:p w:rsidR="002B216A" w:rsidRPr="00F96F3F" w:rsidRDefault="002B216A" w:rsidP="00AF29C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5A2">
              <w:rPr>
                <w:rFonts w:ascii="Times New Roman" w:hAnsi="Times New Roman"/>
                <w:b/>
                <w:sz w:val="24"/>
                <w:szCs w:val="24"/>
              </w:rPr>
              <w:t>(КП ЗМР «Звягельводоканал»)</w:t>
            </w:r>
          </w:p>
        </w:tc>
      </w:tr>
      <w:tr w:rsidR="002B216A" w:rsidRPr="00F96F3F" w:rsidTr="00AF29CB">
        <w:tc>
          <w:tcPr>
            <w:tcW w:w="3794" w:type="dxa"/>
            <w:tcBorders>
              <w:top w:val="single" w:sz="4" w:space="0" w:color="auto"/>
            </w:tcBorders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3F">
              <w:rPr>
                <w:rFonts w:ascii="Times New Roman" w:hAnsi="Times New Roman"/>
                <w:b/>
                <w:sz w:val="24"/>
                <w:szCs w:val="24"/>
              </w:rPr>
              <w:t xml:space="preserve">Назва об’єкту/заходу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216A" w:rsidRPr="00F96F3F" w:rsidRDefault="002B216A" w:rsidP="00AF29CB">
            <w:pPr>
              <w:tabs>
                <w:tab w:val="left" w:pos="3919"/>
              </w:tabs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Варті</w:t>
            </w:r>
            <w:r w:rsidRPr="00F96F3F">
              <w:rPr>
                <w:rFonts w:ascii="Times New Roman" w:hAnsi="Times New Roman"/>
                <w:b/>
                <w:sz w:val="24"/>
                <w:szCs w:val="24"/>
              </w:rPr>
              <w:t>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6F3F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 робіт/заходу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F3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Придбання асенізаційної машини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2646,0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Малогабаритна асенізаційна машина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ємністю бочки до 5 м3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оперативного відкачування стічних вод при ліквідації аварій та заторів,  доступність проїзду в місця обмежені умовами для роботи великогабаритних машин, можливість надання якісних послуг з відкачування рідких побутових відходів.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Засувки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998,4</w:t>
            </w: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зношених та непрацюючих засувок на водопровідній мережі.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Закуплено засувок: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400 мм – 10 шт.,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350 мм – 1 шт.,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300 мм – 4 шт.,</w:t>
            </w:r>
          </w:p>
          <w:p w:rsidR="002B216A" w:rsidRPr="000236A1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250 мм – 1 шт.</w:t>
            </w:r>
          </w:p>
        </w:tc>
        <w:tc>
          <w:tcPr>
            <w:tcW w:w="4253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локального відключення ділянок водопровідної мережі, оперативне припинення витоків питної води та скорочення термінів ліквідації аварій.</w:t>
            </w:r>
          </w:p>
          <w:p w:rsidR="002B216A" w:rsidRPr="0017330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 засувки діаметром                400 мм – 2 шт., 300 мм – 1 шт.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Система диспетчеризації, управління та автоматизації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795,0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Улаштування системи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диспетчеризації,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та автоматизації  на </w:t>
            </w:r>
            <w:r>
              <w:rPr>
                <w:rFonts w:ascii="Times New Roman" w:hAnsi="Times New Roman"/>
                <w:sz w:val="24"/>
                <w:szCs w:val="24"/>
              </w:rPr>
              <w:t>насосній станції ІІ-го підйому на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Житомирська, 85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контролю та автоматизація процесів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покращення якості питної води</w:t>
            </w:r>
          </w:p>
        </w:tc>
      </w:tr>
      <w:tr w:rsidR="002B216A" w:rsidRPr="00110311" w:rsidTr="00AF29CB">
        <w:trPr>
          <w:trHeight w:val="166"/>
        </w:trPr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Станція дозування реагентів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2490,0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>М</w:t>
            </w:r>
            <w:r w:rsidRPr="00F96F3F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онтаж </w:t>
            </w:r>
            <w:r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установки змішування сухих реагентів, монтаж станції дозування,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монтаж шаф управління, датчиків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  дільниці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/>
                <w:sz w:val="24"/>
                <w:szCs w:val="24"/>
              </w:rPr>
              <w:t>го виробництва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на в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>ул. Водопровідна, 50-А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контролю та автоматизація процесів дозування реагентів під час виробництва питної води, збалансована та оптимізована витрата реагентів, покращення якості питної води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Система управління та автоматизації, диспетчеризації та охоронної системи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396,0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центральній каналізаційній станції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управління та автоматизації, диспетчеризації та охоронної системи, допоміжн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відеоспостереження 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дистанційного контролю та нагляду за станцією та її робочими процесами, автономна робота станції без необхідності постійного перебування обслуговуючого персоналу (економія витрат на фонд оплати праці – 68 тис. грн./місяць, самоокупність – 6 місяців).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Модернізація електролізної установки на фільтрах </w:t>
            </w:r>
            <w:r>
              <w:rPr>
                <w:rFonts w:ascii="Times New Roman" w:hAnsi="Times New Roman"/>
                <w:sz w:val="24"/>
                <w:szCs w:val="24"/>
              </w:rPr>
              <w:t>на фільтрах основного виробництва за адресою: вул. Водопровідна, 50-А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4993,0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Заміна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електро</w:t>
            </w:r>
            <w:r>
              <w:rPr>
                <w:rFonts w:ascii="Times New Roman" w:hAnsi="Times New Roman"/>
                <w:sz w:val="24"/>
                <w:szCs w:val="24"/>
              </w:rPr>
              <w:t>дів електролізної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встановлення ємностей,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системи дозування та перекачування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</w:t>
            </w:r>
          </w:p>
        </w:tc>
        <w:tc>
          <w:tcPr>
            <w:tcW w:w="4253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виробництва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з розчину солі, відсутність залежності роботи станції від наявності       на ринку та закупівлі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можливість контролю та автоматизація процесів виробництва та дозування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 під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збалансована та оптимізована витрата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натрію, покращення якості питної води.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>чікує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близько </w:t>
            </w:r>
            <w:r>
              <w:rPr>
                <w:rFonts w:ascii="Times New Roman" w:hAnsi="Times New Roman"/>
                <w:sz w:val="24"/>
                <w:szCs w:val="24"/>
              </w:rPr>
              <w:t>1800,0 –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2400,0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>тис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грн. економії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в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порівнянні  до закупівлі заводського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гіпохлориду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натрію.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Модернізація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комплексу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очисних споруд ІІ пі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на вул. Житомирська, 85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1491,0</w:t>
            </w:r>
          </w:p>
        </w:tc>
        <w:tc>
          <w:tcPr>
            <w:tcW w:w="4961" w:type="dxa"/>
          </w:tcPr>
          <w:p w:rsidR="002B216A" w:rsidRPr="003E77A2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A2">
              <w:rPr>
                <w:rFonts w:ascii="Times New Roman" w:hAnsi="Times New Roman"/>
                <w:sz w:val="24"/>
                <w:szCs w:val="24"/>
              </w:rPr>
              <w:t>Відновлення пошкоджених вузлів                       та механізмів, заміна редукторів мішалок реагентів, заміна засувок з електроприводом, заміна датчиків, встановлення частотних перетворювачів</w:t>
            </w:r>
          </w:p>
        </w:tc>
        <w:tc>
          <w:tcPr>
            <w:tcW w:w="4253" w:type="dxa"/>
          </w:tcPr>
          <w:p w:rsidR="002B216A" w:rsidRPr="00FC3447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Відновлення роботи станції водо підготовки, забезпечення контролю                               та автоматизація процесів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збалансована та оптимізована витрата реагентів, покращення якості питної води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Реконструкція покрівлі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насосної станції ІІ підйому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на вул. Житомирська, 85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2580,6</w:t>
            </w: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Улаштування покрівлі із профільованого листа – 800 м2, теплова ізоляція горища  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Енергозберігаючий ефект,                  запобігання руйнування конструкцій будівлі 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A81FF0">
              <w:rPr>
                <w:rFonts w:ascii="Times New Roman" w:hAnsi="Times New Roman"/>
                <w:sz w:val="24"/>
                <w:szCs w:val="24"/>
              </w:rPr>
              <w:t xml:space="preserve">Нове будівництво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A81FF0">
              <w:rPr>
                <w:rFonts w:ascii="Times New Roman" w:hAnsi="Times New Roman"/>
                <w:sz w:val="24"/>
                <w:szCs w:val="24"/>
              </w:rPr>
              <w:t>підвищувальної насосної станції                                       на вул. Романа Шухевича, 1-Г</w:t>
            </w:r>
          </w:p>
        </w:tc>
        <w:tc>
          <w:tcPr>
            <w:tcW w:w="2268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1197,4</w:t>
            </w:r>
          </w:p>
          <w:p w:rsidR="002B216A" w:rsidRPr="002E7708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(потребує фінансування у 2024 році – 290,8)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модульної будівлі, встановлення засувок, встановлення насосних агрегатів             та шафи управління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даний час в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иконано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Загальнобудівельні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та роботи                          з благоустрою продовжуються.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достатнім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>нормативним тиском води житлові багатоквартирні будинки мікрорайону «Зелені»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(19 багатоквартирних житлових будинків, 935 квартир).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2A493E">
              <w:rPr>
                <w:rFonts w:ascii="Times New Roman" w:hAnsi="Times New Roman"/>
                <w:sz w:val="24"/>
                <w:szCs w:val="24"/>
              </w:rPr>
              <w:t xml:space="preserve">Нове будівництво каналізаційної насосної станції (КНС)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A493E">
              <w:rPr>
                <w:rFonts w:ascii="Times New Roman" w:hAnsi="Times New Roman"/>
                <w:sz w:val="24"/>
                <w:szCs w:val="24"/>
              </w:rPr>
              <w:t>на вул. Гоголя, 4-Г</w:t>
            </w:r>
          </w:p>
        </w:tc>
        <w:tc>
          <w:tcPr>
            <w:tcW w:w="2268" w:type="dxa"/>
          </w:tcPr>
          <w:p w:rsidR="002B216A" w:rsidRPr="002A493E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3E">
              <w:rPr>
                <w:rFonts w:ascii="Times New Roman" w:hAnsi="Times New Roman"/>
                <w:sz w:val="24"/>
                <w:szCs w:val="24"/>
              </w:rPr>
              <w:t>6691,8</w:t>
            </w:r>
          </w:p>
          <w:p w:rsidR="002B216A" w:rsidRPr="002E7708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(потребує фінансування у 2024 році – 2569,4)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каналізаційної насосної станції, прокладання нових труб діаметром 400 мм - </w:t>
            </w:r>
            <w:r w:rsidRPr="00121AE8"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діаметром 225 мм – 420 м, 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колодязів – </w:t>
            </w:r>
            <w:r w:rsidRPr="00121AE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шт., 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даний час в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иконано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 продовжуються.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Безперебійне приймання та відведення стічних вод 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споживачів                          </w:t>
            </w:r>
            <w:r w:rsidRPr="00D552C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-ну «Супутник»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80D9B">
              <w:rPr>
                <w:rFonts w:ascii="Times New Roman" w:hAnsi="Times New Roman"/>
                <w:sz w:val="24"/>
                <w:szCs w:val="24"/>
              </w:rPr>
              <w:t>Реконструкція каналізаційної мережі та водопровідної мережі на вул. Лесі Українки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31816,2</w:t>
            </w:r>
          </w:p>
          <w:p w:rsidR="002B216A" w:rsidRPr="002E7708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(потребує фінансування у 2024 році – 7000,00)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Заміна </w:t>
            </w:r>
            <w:r w:rsidRPr="002A493E">
              <w:rPr>
                <w:rFonts w:ascii="Times New Roman" w:hAnsi="Times New Roman"/>
                <w:sz w:val="24"/>
                <w:szCs w:val="24"/>
              </w:rPr>
              <w:t>1216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труб аварійної каналізаційної мережі, будівництво колодязів – </w:t>
            </w:r>
            <w:r w:rsidRPr="002A493E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 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Глибина прокладання труб до 5 м.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Застосовано метод горизонтально-направленого буріння з метою мінімізації проведення земляних робіт відкритим способом.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даний час в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иконано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 продовжуються.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Безперебійне приймання та відведення стічних вод від більше 30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споживачів міста (м-н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Ремзавод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         </w:t>
            </w:r>
            <w:r w:rsidRPr="00D552C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«Супутник»,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Киїївська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             вул. Шевченка, вул. Медична)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Реконструкція  </w:t>
            </w:r>
            <w:r>
              <w:rPr>
                <w:rFonts w:ascii="Times New Roman" w:hAnsi="Times New Roman"/>
                <w:sz w:val="24"/>
                <w:szCs w:val="24"/>
              </w:rPr>
              <w:t>водопровідної мережі на вул. Нестора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Літописця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1471,1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аварійного 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азбесто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цементного водопроводу на труби з поліетилену діаметром 110 мм, будівництво колодязів –           7 шт., заміна засувки – 1 шт., заміна пожежних гідрантів – 2 шт., встановлення лічильників – 19 шт.,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Реконструкція  </w:t>
            </w:r>
            <w:r>
              <w:rPr>
                <w:rFonts w:ascii="Times New Roman" w:hAnsi="Times New Roman"/>
                <w:sz w:val="24"/>
                <w:szCs w:val="24"/>
              </w:rPr>
              <w:t>водопровідної мережі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на вул. Волі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5711,3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аварійного чавунного та сталевого водопроводу на труби                                 з поліетилену діаметром 400 мм – 70 м, діаметром 225 мм – 202 м, будівництво колодязів – 12 шт., заміна засувок – 17 шт., заміна пожежних гідрантів – 2 шт., встановлення лічильників – 11 шт.,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Реконструкція  </w:t>
            </w:r>
            <w:r>
              <w:rPr>
                <w:rFonts w:ascii="Times New Roman" w:hAnsi="Times New Roman"/>
                <w:sz w:val="24"/>
                <w:szCs w:val="24"/>
              </w:rPr>
              <w:t>водопровідної мережі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на вул. Михайлівська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1472,6</w:t>
            </w: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аварійного чавунного та сталевого водопроводу на труби                                 з поліетилену діаметром 110 мм – 135 м, діаметром 75 мм – 150 м, будівництво колодязів – 7 шт., заміна засувок – 4 шт., заміна пожежних гідрантів – 1 шт., встановлення лічильників – 10 шт.,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Реконструкція  </w:t>
            </w:r>
            <w:r>
              <w:rPr>
                <w:rFonts w:ascii="Times New Roman" w:hAnsi="Times New Roman"/>
                <w:sz w:val="24"/>
                <w:szCs w:val="24"/>
              </w:rPr>
              <w:t>водопровідної мережі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на вул.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нни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Ярославни </w:t>
            </w:r>
          </w:p>
        </w:tc>
        <w:tc>
          <w:tcPr>
            <w:tcW w:w="2268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6413,1</w:t>
            </w:r>
          </w:p>
          <w:p w:rsidR="002B216A" w:rsidRPr="002E7708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(потребує фінансування у 2024 році – 124,7)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аварійного чавунного та азбестоцементного водопроводу на труби                                 з поліетилену діаметром 160 мм – 252 м, діаметром 110 мм – 786 м, будівництво колодязів – 28 шт., заміна засувок – 17 шт., заміна пожежних гідрантів – 7 шт., встановлення лічильників – 39 шт.,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даний час в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иконано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 з відновлення асфальтобетонного покриття будуть виконані після настання відповідних погодних умов.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Нове будівництво </w:t>
            </w:r>
            <w:r>
              <w:rPr>
                <w:rFonts w:ascii="Times New Roman" w:hAnsi="Times New Roman"/>
                <w:sz w:val="24"/>
                <w:szCs w:val="24"/>
              </w:rPr>
              <w:t>каналізаційної мережі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на вул. Михайлівська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5063,4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Прокладання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нової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діаметром             400 мм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колодязів – 8 шт. </w:t>
            </w:r>
          </w:p>
          <w:p w:rsidR="002B216A" w:rsidRPr="003B6530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Застосовано метод горизонтально-направленого буріння з метою мінімізації проведення земляних робіт відкритим способом.</w:t>
            </w:r>
          </w:p>
        </w:tc>
        <w:tc>
          <w:tcPr>
            <w:tcW w:w="4253" w:type="dxa"/>
          </w:tcPr>
          <w:p w:rsidR="002B216A" w:rsidRPr="00A4582D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2D">
              <w:rPr>
                <w:rFonts w:ascii="Times New Roman" w:hAnsi="Times New Roman"/>
                <w:sz w:val="24"/>
                <w:szCs w:val="24"/>
              </w:rPr>
              <w:t>Забезпечення приймання та відведення стічних вод від населення                         вул. Михайлівська,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82D">
              <w:rPr>
                <w:rFonts w:ascii="Times New Roman" w:hAnsi="Times New Roman"/>
                <w:sz w:val="24"/>
                <w:szCs w:val="24"/>
              </w:rPr>
              <w:t xml:space="preserve">Івана </w:t>
            </w:r>
            <w:proofErr w:type="spellStart"/>
            <w:r w:rsidRPr="00A4582D">
              <w:rPr>
                <w:rFonts w:ascii="Times New Roman" w:hAnsi="Times New Roman"/>
                <w:sz w:val="24"/>
                <w:szCs w:val="24"/>
              </w:rPr>
              <w:t>Мамайчука</w:t>
            </w:r>
            <w:proofErr w:type="spellEnd"/>
            <w:r w:rsidRPr="00A4582D">
              <w:rPr>
                <w:rFonts w:ascii="Times New Roman" w:hAnsi="Times New Roman"/>
                <w:sz w:val="24"/>
                <w:szCs w:val="24"/>
              </w:rPr>
              <w:t xml:space="preserve">, бульвару Бориса </w:t>
            </w:r>
            <w:proofErr w:type="spellStart"/>
            <w:r w:rsidRPr="00A4582D">
              <w:rPr>
                <w:rFonts w:ascii="Times New Roman" w:hAnsi="Times New Roman"/>
                <w:sz w:val="24"/>
                <w:szCs w:val="24"/>
              </w:rPr>
              <w:t>Шарварка</w:t>
            </w:r>
            <w:proofErr w:type="spellEnd"/>
            <w:r w:rsidRPr="00A4582D">
              <w:rPr>
                <w:rFonts w:ascii="Times New Roman" w:hAnsi="Times New Roman"/>
                <w:sz w:val="24"/>
                <w:szCs w:val="24"/>
              </w:rPr>
              <w:t xml:space="preserve"> та навчального закладу «Звягельський медичний фаховий коледж Житомирської обласної ради»  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A4582D">
              <w:rPr>
                <w:rFonts w:ascii="Times New Roman" w:hAnsi="Times New Roman"/>
                <w:sz w:val="24"/>
                <w:szCs w:val="24"/>
              </w:rPr>
              <w:t xml:space="preserve">Реконструкція блоку </w:t>
            </w:r>
            <w:proofErr w:type="spellStart"/>
            <w:r w:rsidRPr="00A4582D">
              <w:rPr>
                <w:rFonts w:ascii="Times New Roman" w:hAnsi="Times New Roman"/>
                <w:sz w:val="24"/>
                <w:szCs w:val="24"/>
              </w:rPr>
              <w:t>ємностей</w:t>
            </w:r>
            <w:proofErr w:type="spellEnd"/>
            <w:r w:rsidRPr="00A458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582D">
              <w:rPr>
                <w:rFonts w:ascii="Times New Roman" w:hAnsi="Times New Roman"/>
                <w:sz w:val="24"/>
                <w:szCs w:val="24"/>
              </w:rPr>
              <w:t>аеротенок</w:t>
            </w:r>
            <w:proofErr w:type="spellEnd"/>
            <w:r w:rsidRPr="00A4582D">
              <w:rPr>
                <w:rFonts w:ascii="Times New Roman" w:hAnsi="Times New Roman"/>
                <w:sz w:val="24"/>
                <w:szCs w:val="24"/>
              </w:rPr>
              <w:t xml:space="preserve">                                   із встановленням повітродувок             на очисних спорудах каналізації              в с. </w:t>
            </w:r>
            <w:proofErr w:type="spellStart"/>
            <w:r w:rsidRPr="00A4582D">
              <w:rPr>
                <w:rFonts w:ascii="Times New Roman" w:hAnsi="Times New Roman"/>
                <w:sz w:val="24"/>
                <w:szCs w:val="24"/>
              </w:rPr>
              <w:t>Чижівка</w:t>
            </w:r>
            <w:proofErr w:type="spellEnd"/>
            <w:r w:rsidRPr="00A4582D">
              <w:rPr>
                <w:rFonts w:ascii="Times New Roman" w:hAnsi="Times New Roman"/>
                <w:sz w:val="24"/>
                <w:szCs w:val="24"/>
              </w:rPr>
              <w:t xml:space="preserve"> Звягельського району Житомирської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. І черга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17771,0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582D">
              <w:rPr>
                <w:rFonts w:ascii="Times New Roman" w:hAnsi="Times New Roman"/>
                <w:sz w:val="24"/>
                <w:szCs w:val="24"/>
              </w:rPr>
              <w:t xml:space="preserve">оботи І черги: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4582D">
              <w:rPr>
                <w:rFonts w:ascii="Times New Roman" w:hAnsi="Times New Roman"/>
                <w:sz w:val="24"/>
                <w:szCs w:val="24"/>
              </w:rPr>
              <w:t>- будівництво повітродувної станції;                                                             - монтаж повітродувних агрегатів;                                             - прокладання нового повітроводу від проектованої повітродувної станції  до блоків ємностей №1 та №2;                                                                    - відокремлення повітропроводу для подачі стиснутого повітря на біологічну очистку від гребінки для подачі стиснутого повітря в аеробні стабілізатори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82D">
              <w:rPr>
                <w:rFonts w:ascii="Times New Roman" w:hAnsi="Times New Roman"/>
                <w:sz w:val="24"/>
                <w:szCs w:val="24"/>
              </w:rPr>
              <w:t>та ерліфти;                                             - встановлення запірно-регулюючої арматури на відокремленому повітроводі;                                                       - монтаж системи електропостачання;                                             - монтаж системи автоматизації.</w:t>
            </w:r>
          </w:p>
        </w:tc>
        <w:tc>
          <w:tcPr>
            <w:tcW w:w="4253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якісного очищення стічних вод, забезпечення контролю                               та автоматизація процесів аерації, зменшення витрат електроенергії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40 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B216A" w:rsidRPr="00110311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</w:t>
            </w:r>
            <w:r>
              <w:rPr>
                <w:rFonts w:ascii="Times New Roman" w:hAnsi="Times New Roman"/>
                <w:sz w:val="24"/>
                <w:szCs w:val="24"/>
              </w:rPr>
              <w:t>водопровідної мережі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96F3F">
              <w:rPr>
                <w:rFonts w:ascii="Times New Roman" w:hAnsi="Times New Roman"/>
                <w:sz w:val="24"/>
                <w:szCs w:val="24"/>
              </w:rPr>
              <w:t>на вул. Кривоноса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1387,7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аварійного сталевого водопроводу на труби з поліетилену діаметром 110 мм – 515 м, , будівництво колодязів – 3 шт., заміна засувок – 1 шт., заміна пожежних гідрантів – 1 шт., встановлення лічильників – 4 шт.,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4253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F96F3F" w:rsidTr="00AF29CB">
        <w:tc>
          <w:tcPr>
            <w:tcW w:w="3794" w:type="dxa"/>
          </w:tcPr>
          <w:p w:rsidR="002B216A" w:rsidRPr="00F96F3F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BD4880">
              <w:rPr>
                <w:rFonts w:ascii="Times New Roman" w:hAnsi="Times New Roman"/>
                <w:sz w:val="24"/>
                <w:szCs w:val="24"/>
              </w:rPr>
              <w:t xml:space="preserve">Реконструкція електричних мереж та монтаж сонячної електростанції на очисних спорудах каналізації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D4880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proofErr w:type="spellStart"/>
            <w:r w:rsidRPr="00BD4880">
              <w:rPr>
                <w:rFonts w:ascii="Times New Roman" w:hAnsi="Times New Roman"/>
                <w:sz w:val="24"/>
                <w:szCs w:val="24"/>
              </w:rPr>
              <w:t>Чижівка</w:t>
            </w:r>
            <w:proofErr w:type="spellEnd"/>
            <w:r w:rsidRPr="00BD488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3F">
              <w:rPr>
                <w:rFonts w:ascii="Times New Roman" w:hAnsi="Times New Roman"/>
                <w:sz w:val="24"/>
                <w:szCs w:val="24"/>
              </w:rPr>
              <w:t>5051,2</w:t>
            </w:r>
          </w:p>
        </w:tc>
        <w:tc>
          <w:tcPr>
            <w:tcW w:w="4961" w:type="dxa"/>
          </w:tcPr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EB">
              <w:rPr>
                <w:rFonts w:ascii="Times New Roman" w:hAnsi="Times New Roman"/>
                <w:sz w:val="24"/>
                <w:szCs w:val="24"/>
              </w:rPr>
              <w:t>Встановлення сонячної електростанції потужністю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EB">
              <w:rPr>
                <w:rFonts w:ascii="Times New Roman" w:hAnsi="Times New Roman"/>
                <w:sz w:val="24"/>
                <w:szCs w:val="24"/>
              </w:rPr>
              <w:t>150 кВт*год.</w:t>
            </w:r>
          </w:p>
        </w:tc>
        <w:tc>
          <w:tcPr>
            <w:tcW w:w="4253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2BEB">
              <w:rPr>
                <w:rFonts w:ascii="Times New Roman" w:hAnsi="Times New Roman"/>
                <w:sz w:val="24"/>
                <w:szCs w:val="24"/>
              </w:rPr>
              <w:t>аміщення споживання електричної енергії із зовнішньої мережі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 </w:t>
            </w:r>
            <w:r w:rsidRPr="00F96F3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потреб очисних споруд каналізації в залежності від погодних умов. </w:t>
            </w:r>
          </w:p>
          <w:p w:rsidR="002B216A" w:rsidRPr="00F96F3F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>чікує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близько 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>- 150 тис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EB">
              <w:rPr>
                <w:rFonts w:ascii="Times New Roman" w:hAnsi="Times New Roman"/>
                <w:sz w:val="24"/>
                <w:szCs w:val="24"/>
              </w:rPr>
              <w:t>кВт*год.</w:t>
            </w:r>
            <w:r w:rsidRPr="00752B11">
              <w:rPr>
                <w:rFonts w:ascii="Times New Roman" w:hAnsi="Times New Roman"/>
                <w:sz w:val="24"/>
                <w:szCs w:val="24"/>
              </w:rPr>
              <w:t xml:space="preserve"> в рік, а це в грошовому еквіваленті по цінах на сьогодні складає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1071200 – 1236000 грн.</w:t>
            </w:r>
          </w:p>
        </w:tc>
      </w:tr>
    </w:tbl>
    <w:p w:rsidR="002B216A" w:rsidRDefault="002B216A" w:rsidP="002B216A">
      <w:pPr>
        <w:tabs>
          <w:tab w:val="left" w:pos="3919"/>
        </w:tabs>
        <w:spacing w:after="0" w:line="240" w:lineRule="auto"/>
      </w:pPr>
    </w:p>
    <w:p w:rsidR="005D49AE" w:rsidRPr="00FF79AA" w:rsidRDefault="005D49AE" w:rsidP="005D49AE">
      <w:pPr>
        <w:jc w:val="both"/>
        <w:rPr>
          <w:rFonts w:ascii="Times New Roman" w:hAnsi="Times New Roman"/>
          <w:sz w:val="28"/>
          <w:szCs w:val="28"/>
        </w:rPr>
      </w:pPr>
    </w:p>
    <w:p w:rsidR="005D49AE" w:rsidRPr="00FF79AA" w:rsidRDefault="005D49AE" w:rsidP="005D49AE">
      <w:pPr>
        <w:rPr>
          <w:rFonts w:ascii="Times New Roman" w:hAnsi="Times New Roman"/>
          <w:color w:val="FF0000"/>
          <w:sz w:val="28"/>
          <w:szCs w:val="28"/>
        </w:rPr>
      </w:pPr>
    </w:p>
    <w:p w:rsidR="005D49AE" w:rsidRDefault="005D49AE" w:rsidP="005D49AE">
      <w:pPr>
        <w:rPr>
          <w:rFonts w:ascii="Times New Roman" w:hAnsi="Times New Roman"/>
          <w:sz w:val="28"/>
          <w:szCs w:val="28"/>
        </w:rPr>
      </w:pPr>
    </w:p>
    <w:p w:rsidR="005D49AE" w:rsidRPr="007476D7" w:rsidRDefault="005D49AE" w:rsidP="005D49AE">
      <w:pPr>
        <w:rPr>
          <w:rFonts w:ascii="Times New Roman" w:hAnsi="Times New Roman"/>
          <w:b/>
          <w:sz w:val="28"/>
          <w:szCs w:val="28"/>
        </w:rPr>
      </w:pPr>
    </w:p>
    <w:p w:rsidR="005D49AE" w:rsidRPr="007476D7" w:rsidRDefault="005D49AE" w:rsidP="005D49AE">
      <w:pPr>
        <w:pStyle w:val="a7"/>
        <w:jc w:val="left"/>
      </w:pPr>
      <w:r w:rsidRPr="007476D7">
        <w:rPr>
          <w:b w:val="0"/>
          <w:sz w:val="28"/>
          <w:szCs w:val="28"/>
        </w:rPr>
        <w:t xml:space="preserve">                          </w:t>
      </w:r>
    </w:p>
    <w:p w:rsidR="003C0206" w:rsidRPr="00FF654A" w:rsidRDefault="003C0206" w:rsidP="002B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059" w:rsidRPr="00374861" w:rsidRDefault="00491059" w:rsidP="002B216A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  КП «Звягель</w:t>
      </w:r>
      <w:r w:rsidR="002B2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водоканал</w:t>
      </w: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                                           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Олександр ТИМОФІЇВ</w:t>
      </w:r>
    </w:p>
    <w:sectPr w:rsidR="00491059" w:rsidRPr="00374861" w:rsidSect="002B21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5D"/>
    <w:multiLevelType w:val="hybridMultilevel"/>
    <w:tmpl w:val="7A3CF152"/>
    <w:lvl w:ilvl="0" w:tplc="9DDA5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12A9"/>
    <w:rsid w:val="00006BBB"/>
    <w:rsid w:val="00041007"/>
    <w:rsid w:val="000868B9"/>
    <w:rsid w:val="00110311"/>
    <w:rsid w:val="001224F5"/>
    <w:rsid w:val="001C3727"/>
    <w:rsid w:val="002B216A"/>
    <w:rsid w:val="002E1387"/>
    <w:rsid w:val="003212A9"/>
    <w:rsid w:val="00374861"/>
    <w:rsid w:val="0037561D"/>
    <w:rsid w:val="003C0206"/>
    <w:rsid w:val="00461598"/>
    <w:rsid w:val="00491059"/>
    <w:rsid w:val="00495997"/>
    <w:rsid w:val="004A4C41"/>
    <w:rsid w:val="0058000D"/>
    <w:rsid w:val="005D49AE"/>
    <w:rsid w:val="00852A22"/>
    <w:rsid w:val="00881D02"/>
    <w:rsid w:val="008E215A"/>
    <w:rsid w:val="00902851"/>
    <w:rsid w:val="00994BDF"/>
    <w:rsid w:val="00A82A73"/>
    <w:rsid w:val="00A976D8"/>
    <w:rsid w:val="00AF1B09"/>
    <w:rsid w:val="00B0041F"/>
    <w:rsid w:val="00BC6335"/>
    <w:rsid w:val="00BF4497"/>
    <w:rsid w:val="00CC3223"/>
    <w:rsid w:val="00D375FB"/>
    <w:rsid w:val="00ED0C0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2C7"/>
  <w15:docId w15:val="{2A7AF899-120F-41B1-845C-FDE3773A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F5"/>
  </w:style>
  <w:style w:type="paragraph" w:styleId="1">
    <w:name w:val="heading 1"/>
    <w:basedOn w:val="a"/>
    <w:next w:val="a"/>
    <w:link w:val="10"/>
    <w:uiPriority w:val="9"/>
    <w:qFormat/>
    <w:rsid w:val="005D4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C372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C372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5">
    <w:name w:val="Strong"/>
    <w:uiPriority w:val="22"/>
    <w:qFormat/>
    <w:rsid w:val="001C3727"/>
    <w:rPr>
      <w:b/>
      <w:bCs/>
    </w:rPr>
  </w:style>
  <w:style w:type="paragraph" w:styleId="a6">
    <w:name w:val="List Paragraph"/>
    <w:basedOn w:val="a"/>
    <w:uiPriority w:val="34"/>
    <w:qFormat/>
    <w:rsid w:val="001C372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D4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4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5D49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5D49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5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B216A"/>
    <w:rPr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2B216A"/>
    <w:pPr>
      <w:spacing w:after="0" w:line="240" w:lineRule="auto"/>
    </w:pPr>
    <w:rPr>
      <w:rFonts w:eastAsiaTheme="minorEastAsia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216A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2B216A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2024-03-08T06:19:00Z</cp:lastPrinted>
  <dcterms:created xsi:type="dcterms:W3CDTF">2024-03-06T14:04:00Z</dcterms:created>
  <dcterms:modified xsi:type="dcterms:W3CDTF">2024-03-08T06:20:00Z</dcterms:modified>
</cp:coreProperties>
</file>