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E4" w:rsidRPr="006F13E5" w:rsidRDefault="00B576E4" w:rsidP="00B576E4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uk-UA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30C7B645" wp14:editId="78A8478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auto"/>
          <w:kern w:val="32"/>
          <w:lang w:val="uk-UA" w:eastAsia="ru-RU"/>
        </w:rPr>
        <w:t xml:space="preserve"> </w:t>
      </w:r>
    </w:p>
    <w:p w:rsidR="00B576E4" w:rsidRPr="00D119AF" w:rsidRDefault="00B576E4" w:rsidP="00B576E4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B576E4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B576E4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</w:p>
    <w:p w:rsidR="00B576E4" w:rsidRPr="00D119AF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</w:p>
    <w:p w:rsidR="00B576E4" w:rsidRPr="00D119AF" w:rsidRDefault="00B576E4" w:rsidP="00B576E4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 w:rsidR="0028563C">
        <w:rPr>
          <w:lang w:val="uk-UA"/>
        </w:rPr>
        <w:t>ят</w:t>
      </w:r>
      <w:r>
        <w:rPr>
          <w:lang w:val="uk-UA"/>
        </w:rPr>
        <w:t>десята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B576E4" w:rsidRPr="00D119AF" w:rsidRDefault="00B576E4" w:rsidP="00B576E4">
      <w:pPr>
        <w:rPr>
          <w:rFonts w:eastAsia="Times New Roman"/>
          <w:color w:val="auto"/>
          <w:lang w:val="uk-UA" w:eastAsia="ru-RU"/>
        </w:rPr>
      </w:pPr>
    </w:p>
    <w:p w:rsidR="00B576E4" w:rsidRPr="00592AC7" w:rsidRDefault="00592AC7" w:rsidP="00B576E4">
      <w:pPr>
        <w:rPr>
          <w:rFonts w:eastAsia="Times New Roman"/>
          <w:color w:val="auto"/>
          <w:lang w:val="uk-UA" w:eastAsia="ru-RU"/>
        </w:rPr>
      </w:pPr>
      <w:r w:rsidRPr="00592AC7">
        <w:rPr>
          <w:rFonts w:eastAsia="Times New Roman"/>
          <w:color w:val="auto"/>
          <w:lang w:val="uk-UA" w:eastAsia="ru-RU"/>
        </w:rPr>
        <w:t>06.06.2024</w:t>
      </w:r>
      <w:r w:rsidR="00B576E4" w:rsidRPr="00D119AF">
        <w:rPr>
          <w:rFonts w:eastAsia="Times New Roman"/>
          <w:color w:val="auto"/>
          <w:lang w:val="uk-UA" w:eastAsia="ru-RU"/>
        </w:rPr>
        <w:tab/>
      </w:r>
      <w:r w:rsidR="00B576E4" w:rsidRPr="00D119AF">
        <w:rPr>
          <w:rFonts w:eastAsia="Times New Roman"/>
          <w:color w:val="auto"/>
          <w:lang w:val="uk-UA" w:eastAsia="ru-RU"/>
        </w:rPr>
        <w:tab/>
      </w:r>
      <w:r w:rsidR="00B576E4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B576E4">
        <w:rPr>
          <w:rFonts w:eastAsia="Times New Roman"/>
          <w:color w:val="auto"/>
          <w:lang w:val="uk-UA" w:eastAsia="ru-RU"/>
        </w:rPr>
        <w:t xml:space="preserve">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   </w:t>
      </w:r>
      <w:bookmarkStart w:id="0" w:name="_GoBack"/>
      <w:bookmarkEnd w:id="0"/>
      <w:r w:rsidR="00B576E4">
        <w:rPr>
          <w:rFonts w:eastAsia="Times New Roman"/>
          <w:color w:val="auto"/>
          <w:lang w:val="uk-UA" w:eastAsia="ru-RU"/>
        </w:rPr>
        <w:t xml:space="preserve">     </w:t>
      </w:r>
      <w:r w:rsidR="00B576E4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1243</w:t>
      </w:r>
    </w:p>
    <w:p w:rsidR="00B576E4" w:rsidRPr="00592AC7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tabs>
          <w:tab w:val="left" w:pos="4394"/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B576E4" w:rsidRDefault="00B576E4" w:rsidP="00B576E4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</w:t>
      </w:r>
      <w:r w:rsidRPr="00A332EC">
        <w:rPr>
          <w:rFonts w:eastAsia="Times New Roman"/>
          <w:color w:val="auto"/>
          <w:lang w:val="uk-UA" w:eastAsia="ru-RU"/>
        </w:rPr>
        <w:t xml:space="preserve">вягельської міської територіальної </w:t>
      </w:r>
    </w:p>
    <w:p w:rsidR="00B576E4" w:rsidRPr="00A332EC" w:rsidRDefault="00B576E4" w:rsidP="00B576E4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 w:rsidRPr="00A332EC">
        <w:rPr>
          <w:rFonts w:eastAsia="Times New Roman"/>
          <w:color w:val="auto"/>
          <w:lang w:val="uk-UA" w:eastAsia="ru-RU"/>
        </w:rPr>
        <w:t>громади орден „Звягель“</w:t>
      </w:r>
    </w:p>
    <w:p w:rsidR="00B576E4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783 „Про Положення про відзнаку орден „Звягель“, враховуючи рішення комісії з питань нагородження відзнакою Звягельської міської територіальної громади орден „Звягель“ (протокол №1 від 22.05.2024),  міська рада</w:t>
      </w:r>
    </w:p>
    <w:p w:rsidR="00B576E4" w:rsidRDefault="00B576E4" w:rsidP="00B576E4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Нагородити відзнакою </w:t>
      </w:r>
      <w:r>
        <w:rPr>
          <w:rFonts w:eastAsia="Times New Roman"/>
          <w:color w:val="auto"/>
          <w:lang w:val="uk-UA" w:eastAsia="ru-RU"/>
        </w:rPr>
        <w:t xml:space="preserve">Звягельської міської територіальної громади </w:t>
      </w:r>
      <w:r>
        <w:rPr>
          <w:rFonts w:eastAsia="Times New Roman"/>
          <w:color w:val="auto"/>
          <w:szCs w:val="20"/>
          <w:lang w:val="uk-UA" w:eastAsia="ru-RU"/>
        </w:rPr>
        <w:t>орден „Звягель“: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1.1. КРАВЦЯ Олексія Павловича – </w:t>
      </w:r>
      <w:r>
        <w:rPr>
          <w:rFonts w:eastAsia="Times New Roman"/>
          <w:lang w:val="uk-UA" w:eastAsia="ru-RU"/>
        </w:rPr>
        <w:t xml:space="preserve">полковника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lang w:val="uk-UA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 xml:space="preserve">1.2. ШАПРАНА Ігоря Миколайовича – капітана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 xml:space="preserve">1.3. ОМЕЛЬЧЕНКА Ігоря Миколайовича – підполковника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>1.4. БАДОВСЬКУ Олену Михайлівну – голову благодійного фонду „СВІТ НА ДОЛОНІ“ за активну волонтерську допомогу Збройним Силам України, малозабезпеченим та багатодітним сім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 xml:space="preserve">ям, дітям загиблих воїнів і активну </w:t>
      </w:r>
      <w:r>
        <w:rPr>
          <w:rFonts w:eastAsia="Times New Roman"/>
          <w:color w:val="auto"/>
          <w:lang w:val="uk-UA" w:eastAsia="ru-RU"/>
        </w:rPr>
        <w:t>участь у житті територіальної громади</w:t>
      </w:r>
      <w:r>
        <w:rPr>
          <w:lang w:val="uk-UA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>1.5. ХМЕЛЕВСЬКУ Ларису Іванівну – викладача Звягельської школи мистецтв, засновника народного камерного ансамблю „</w:t>
      </w:r>
      <w:proofErr w:type="spellStart"/>
      <w:r>
        <w:rPr>
          <w:lang w:val="uk-UA"/>
        </w:rPr>
        <w:t>Класік</w:t>
      </w:r>
      <w:proofErr w:type="spellEnd"/>
      <w:r>
        <w:rPr>
          <w:lang w:val="uk-UA"/>
        </w:rPr>
        <w:t xml:space="preserve">“ за багаторічну сумлінну працю, вагомий внесок у </w:t>
      </w:r>
      <w:proofErr w:type="spellStart"/>
      <w:r>
        <w:rPr>
          <w:lang w:val="uk-UA"/>
        </w:rPr>
        <w:t>мистецько</w:t>
      </w:r>
      <w:proofErr w:type="spellEnd"/>
      <w:r>
        <w:rPr>
          <w:lang w:val="uk-UA"/>
        </w:rPr>
        <w:t xml:space="preserve">-просвітницьку діяльність в </w:t>
      </w:r>
      <w:proofErr w:type="spellStart"/>
      <w:r>
        <w:rPr>
          <w:lang w:val="uk-UA"/>
        </w:rPr>
        <w:t>Звягельській</w:t>
      </w:r>
      <w:proofErr w:type="spellEnd"/>
      <w:r>
        <w:rPr>
          <w:lang w:val="uk-UA"/>
        </w:rPr>
        <w:t xml:space="preserve"> міській територіальній громаді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</w:p>
    <w:p w:rsidR="00B576E4" w:rsidRDefault="00B576E4" w:rsidP="00B576E4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орденських книжок та урочисте вручення нагород.</w:t>
      </w:r>
    </w:p>
    <w:p w:rsidR="00B576E4" w:rsidRDefault="00B576E4" w:rsidP="00B576E4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p w:rsidR="00E701AB" w:rsidRDefault="00E701AB"/>
    <w:sectPr w:rsidR="00E701AB" w:rsidSect="00EF43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9E"/>
    <w:rsid w:val="00062A9E"/>
    <w:rsid w:val="0028563C"/>
    <w:rsid w:val="00592AC7"/>
    <w:rsid w:val="00B576E4"/>
    <w:rsid w:val="00E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F56A"/>
  <w15:chartTrackingRefBased/>
  <w15:docId w15:val="{E84B64C6-579F-4502-A291-2C630A0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dcterms:created xsi:type="dcterms:W3CDTF">2024-06-11T06:29:00Z</dcterms:created>
  <dcterms:modified xsi:type="dcterms:W3CDTF">2024-06-11T06:29:00Z</dcterms:modified>
</cp:coreProperties>
</file>