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9F" w:rsidRPr="007C7A9F" w:rsidRDefault="007C7A9F" w:rsidP="007C7A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A9F" w:rsidRPr="007C7A9F" w:rsidRDefault="007C7A9F" w:rsidP="007C7A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sz w:val="28"/>
        </w:rPr>
        <w:t>ВИКОНАВЧИЙ КОМІТЕТ</w:t>
      </w:r>
    </w:p>
    <w:p w:rsidR="007C7A9F" w:rsidRPr="007C7A9F" w:rsidRDefault="007C7A9F" w:rsidP="007C7A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sz w:val="28"/>
          <w:szCs w:val="28"/>
        </w:rPr>
        <w:t>ЗВЯГЕЛЬСЬКОЇ МІСЬКОЇ РАДИ</w:t>
      </w:r>
    </w:p>
    <w:p w:rsidR="007C7A9F" w:rsidRPr="007C7A9F" w:rsidRDefault="007C7A9F" w:rsidP="007C7A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sz w:val="28"/>
        </w:rPr>
        <w:t xml:space="preserve">РІШЕННЯ </w:t>
      </w:r>
    </w:p>
    <w:p w:rsidR="007C7A9F" w:rsidRDefault="007C7A9F"/>
    <w:p w:rsidR="007C7A9F" w:rsidRPr="007C7A9F" w:rsidRDefault="007C7A9F">
      <w:pPr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___________________                                                                                                  </w:t>
      </w:r>
      <w:r w:rsidRPr="007C7A9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lang w:val="uk-UA"/>
        </w:rPr>
        <w:t>__________________</w:t>
      </w:r>
    </w:p>
    <w:p w:rsidR="007C7A9F" w:rsidRPr="009A505A" w:rsidRDefault="007C7A9F">
      <w:pPr>
        <w:rPr>
          <w:rFonts w:ascii="Times New Roman" w:hAnsi="Times New Roman" w:cs="Times New Roman"/>
          <w:sz w:val="28"/>
          <w:szCs w:val="28"/>
        </w:rPr>
      </w:pPr>
      <w:r w:rsidRPr="009A505A">
        <w:rPr>
          <w:rFonts w:ascii="Times New Roman" w:hAnsi="Times New Roman" w:cs="Times New Roman"/>
          <w:sz w:val="28"/>
          <w:szCs w:val="28"/>
        </w:rPr>
        <w:tab/>
      </w:r>
    </w:p>
    <w:p w:rsidR="007C7A9F" w:rsidRPr="00E8150F" w:rsidRDefault="007C7A9F" w:rsidP="002863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50F">
        <w:rPr>
          <w:rFonts w:ascii="Times New Roman" w:hAnsi="Times New Roman" w:cs="Times New Roman"/>
          <w:sz w:val="28"/>
          <w:szCs w:val="28"/>
          <w:lang w:val="uk-UA"/>
        </w:rPr>
        <w:t>Про звіт директора комунального</w:t>
      </w:r>
    </w:p>
    <w:p w:rsidR="007C7A9F" w:rsidRPr="00E8150F" w:rsidRDefault="007C7A9F" w:rsidP="002863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50F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</w:t>
      </w:r>
      <w:proofErr w:type="spellStart"/>
      <w:r w:rsidRPr="00E8150F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E8150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28630B" w:rsidRPr="00E8150F" w:rsidRDefault="007C7A9F" w:rsidP="002863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50F">
        <w:rPr>
          <w:rFonts w:ascii="Times New Roman" w:hAnsi="Times New Roman" w:cs="Times New Roman"/>
          <w:sz w:val="28"/>
          <w:szCs w:val="28"/>
          <w:lang w:val="uk-UA"/>
        </w:rPr>
        <w:t xml:space="preserve">«Міський ринок» про роботу за </w:t>
      </w:r>
    </w:p>
    <w:p w:rsidR="007C7A9F" w:rsidRPr="00E8150F" w:rsidRDefault="0028630B" w:rsidP="002863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50F">
        <w:rPr>
          <w:rFonts w:ascii="Times New Roman" w:hAnsi="Times New Roman" w:cs="Times New Roman"/>
          <w:sz w:val="28"/>
          <w:szCs w:val="28"/>
          <w:lang w:val="uk-UA"/>
        </w:rPr>
        <w:t>2023-2024 роки</w:t>
      </w:r>
    </w:p>
    <w:p w:rsidR="007C7A9F" w:rsidRPr="00E8150F" w:rsidRDefault="007C7A9F">
      <w:pPr>
        <w:rPr>
          <w:rFonts w:ascii="Times New Roman" w:hAnsi="Times New Roman" w:cs="Times New Roman"/>
          <w:sz w:val="28"/>
          <w:szCs w:val="28"/>
        </w:rPr>
      </w:pPr>
    </w:p>
    <w:p w:rsidR="007C7A9F" w:rsidRPr="00E8150F" w:rsidRDefault="007C7A9F" w:rsidP="007C7A9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30B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пунктами 7,8 частини а статті 30 </w:t>
      </w:r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самоврядування в Україні», Правилами торгівлі на ринках, затвердженими наказом Міністерства економіки та з питань Європейської інтеграції України, Міністерства внутрішніх справ України, Державної податкової адміністрації України, Державного комітету стандартизації, метр</w:t>
      </w:r>
      <w:r w:rsidR="00E92598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ології та сертифікації України від 26.02.2002 №57/188/84/105, </w:t>
      </w:r>
      <w:r w:rsidR="0028630B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Статутом</w:t>
      </w:r>
      <w:r w:rsidR="00E92598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підприємства, </w:t>
      </w:r>
      <w:r w:rsidR="0028630B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затвердженого рішенням міської ради від 22.12.2022 №723 </w:t>
      </w:r>
      <w:r w:rsidR="00E92598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пропозиції та зауваження депутатів міської ради та міського голови, які висловлені під час підготовки шістдесятої сесії міської ради восьмого скликання, виконавчий комітет</w:t>
      </w:r>
    </w:p>
    <w:p w:rsidR="007C7A9F" w:rsidRPr="00E8150F" w:rsidRDefault="00E92598" w:rsidP="007C7A9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:rsidR="00E92598" w:rsidRPr="00E8150F" w:rsidRDefault="00E92598" w:rsidP="004F205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Звіт директора комунального підприємства </w:t>
      </w:r>
      <w:proofErr w:type="spellStart"/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</w:p>
    <w:p w:rsidR="007C7A9F" w:rsidRPr="00E8150F" w:rsidRDefault="00E92598" w:rsidP="00286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«Міський ринок»</w:t>
      </w:r>
      <w:r w:rsidR="0028630B" w:rsidRPr="00E81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6952" w:rsidRPr="00E8150F">
        <w:rPr>
          <w:rFonts w:ascii="Times New Roman" w:hAnsi="Times New Roman" w:cs="Times New Roman"/>
          <w:sz w:val="28"/>
          <w:szCs w:val="28"/>
          <w:lang w:val="uk-UA"/>
        </w:rPr>
        <w:t xml:space="preserve">Богданчук Н.Г. </w:t>
      </w:r>
      <w:r w:rsidR="0028630B" w:rsidRPr="00E8150F"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за 2023-2024 роки </w:t>
      </w:r>
      <w:r w:rsidR="0028630B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взяти до </w:t>
      </w:r>
      <w:proofErr w:type="spellStart"/>
      <w:r w:rsidR="0028630B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уваги</w:t>
      </w:r>
      <w:proofErr w:type="spellEnd"/>
      <w:r w:rsidR="0028630B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30B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(додається).</w:t>
      </w:r>
    </w:p>
    <w:p w:rsidR="00E8150F" w:rsidRDefault="0028630B" w:rsidP="00374363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Директору КП ЗМР «Міський ринок» Богданчук Н.Г. </w:t>
      </w:r>
      <w:proofErr w:type="spellStart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proofErr w:type="spellEnd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363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</w:t>
      </w:r>
      <w:proofErr w:type="spellEnd"/>
      <w:r w:rsid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8630B" w:rsidRPr="00E8150F" w:rsidRDefault="00E8150F" w:rsidP="003743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міському голові</w:t>
      </w:r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фінансового</w:t>
      </w:r>
      <w:proofErr w:type="spellEnd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рідше</w:t>
      </w:r>
      <w:proofErr w:type="spellEnd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на </w:t>
      </w:r>
      <w:proofErr w:type="spellStart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="00076952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8630B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невідкладно вжити заходів щодо погашення </w:t>
      </w:r>
      <w:r w:rsidR="004F2055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дебіторс</w:t>
      </w:r>
      <w:r w:rsidR="00076952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4F2055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кої заборгованості. </w:t>
      </w:r>
    </w:p>
    <w:p w:rsidR="00374363" w:rsidRPr="00E8150F" w:rsidRDefault="00374363" w:rsidP="0037436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50F">
        <w:rPr>
          <w:rFonts w:ascii="Times New Roman" w:hAnsi="Times New Roman" w:cs="Times New Roman"/>
          <w:sz w:val="28"/>
          <w:szCs w:val="28"/>
          <w:lang w:val="uk-UA"/>
        </w:rPr>
        <w:t xml:space="preserve">Відділу   економічного    планування   та  підприємницької діяльності </w:t>
      </w:r>
    </w:p>
    <w:p w:rsidR="00374363" w:rsidRPr="00E8150F" w:rsidRDefault="00374363" w:rsidP="003743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50F">
        <w:rPr>
          <w:rFonts w:ascii="Times New Roman" w:hAnsi="Times New Roman" w:cs="Times New Roman"/>
          <w:sz w:val="28"/>
          <w:szCs w:val="28"/>
          <w:lang w:val="uk-UA"/>
        </w:rPr>
        <w:t>міської ради спільно з відділом внутрішнього аудиту міської ради налагодити оперативний контроль за зменшенням обсягу дебіторської заборгованості станом на 1 число кожного місяця.</w:t>
      </w:r>
    </w:p>
    <w:p w:rsidR="00E92598" w:rsidRPr="00E8150F" w:rsidRDefault="00E92598" w:rsidP="00E92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374363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цього рішення покласти на</w:t>
      </w:r>
      <w:r w:rsidR="004F2055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</w:t>
      </w:r>
      <w:r w:rsidR="009B4192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 Гудзь І.Л.</w:t>
      </w:r>
    </w:p>
    <w:p w:rsidR="00E92598" w:rsidRPr="00E8150F" w:rsidRDefault="00E92598" w:rsidP="007C7A9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363" w:rsidRPr="00E8150F" w:rsidRDefault="00374363" w:rsidP="007C7A9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05A" w:rsidRPr="00E8150F" w:rsidRDefault="00E92598" w:rsidP="00E8150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</w:t>
      </w:r>
      <w:r w:rsidR="004F2055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Микола БОРОВЕЦЬ</w:t>
      </w:r>
      <w:r w:rsidR="007C7A9F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9A505A" w:rsidRPr="009A505A" w:rsidRDefault="009A505A" w:rsidP="009A50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Звіт директора комунального підприємства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Звягельської</w:t>
      </w:r>
      <w:proofErr w:type="spellEnd"/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«Міський ринок» Богданчук Н.Г.</w:t>
      </w:r>
      <w:r w:rsidR="000769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роботу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2023-2024 роки </w:t>
      </w:r>
    </w:p>
    <w:p w:rsidR="009A505A" w:rsidRPr="009A505A" w:rsidRDefault="009A505A" w:rsidP="009A5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підприємство </w:t>
      </w:r>
      <w:proofErr w:type="spellStart"/>
      <w:r w:rsidR="00076952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0769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>«Міський ринок» діє на принципах повного господарського розрахунку. З бюджету громади не фінансується.</w:t>
      </w:r>
    </w:p>
    <w:p w:rsidR="009A505A" w:rsidRPr="009A505A" w:rsidRDefault="009A505A" w:rsidP="009A5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>Метою діяльності підприємства, згідно Статуту є отримання прибутку шляхом організації та проведення ярмарків, базарів з продажу сільськогосподарської продукції та інших товарів за широкою участю населення та підприємницької діяльності.</w:t>
      </w:r>
    </w:p>
    <w:p w:rsidR="009A505A" w:rsidRPr="009A505A" w:rsidRDefault="009A505A" w:rsidP="009A5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На КП ЗМР «Міський ринок» згідно штатного розпису від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27.12.2024 року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 штат у кількості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чоловік . На даний час працює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чоловік тому, що  на період військового  стану тимчасово звільнені охоронники.</w:t>
      </w:r>
    </w:p>
    <w:p w:rsidR="009A505A" w:rsidRPr="009A505A" w:rsidRDefault="009A505A" w:rsidP="009A5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Місячний фонд заробітної плати затверджено в розмірі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81 556,0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тис. грн. Заробітна плата виплачується вчасно та без затримки.</w:t>
      </w:r>
    </w:p>
    <w:p w:rsidR="009A505A" w:rsidRPr="009A505A" w:rsidRDefault="009A505A" w:rsidP="009A50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          Земельна площа комунального підприємства складає-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0,2741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га.</w:t>
      </w:r>
    </w:p>
    <w:p w:rsidR="009A505A" w:rsidRPr="009A505A" w:rsidRDefault="009A505A" w:rsidP="009A5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розміщено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68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торгівельних павільйонів, в яких здійснює свою діяльність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52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приватних підприємці.</w:t>
      </w:r>
    </w:p>
    <w:p w:rsidR="009A505A" w:rsidRPr="009A505A" w:rsidRDefault="009A505A" w:rsidP="009A5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>На сьогоднішній день КП ЗМР «Міський ринок» є прибутковим підприємством.</w:t>
      </w:r>
    </w:p>
    <w:p w:rsidR="009A505A" w:rsidRPr="009A505A" w:rsidRDefault="009A505A" w:rsidP="009A5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Рішенням виконавчого комітету міської ради від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11.03.2020р.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№1176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«Про встановлення тарифів на послуги комунально-торгівельного підприємства «Міський ринок» затверджено тарифи, які було введено в дію з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квітня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2020р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>. Згідно затверджених тарифів, розмір плати становить-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4,30 грн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. за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proofErr w:type="spellStart"/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кв</w:t>
      </w:r>
      <w:proofErr w:type="spellEnd"/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. м.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в день (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1290 грн.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в місяць із розрахунку за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кв</w:t>
      </w:r>
      <w:proofErr w:type="spellEnd"/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. м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.) та для торгівельних павільйонів, площа яких більша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кв</w:t>
      </w:r>
      <w:proofErr w:type="spellEnd"/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. м.-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4,00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грн.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proofErr w:type="spellStart"/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кв.м</w:t>
      </w:r>
      <w:proofErr w:type="spellEnd"/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день.</w:t>
      </w:r>
    </w:p>
    <w:p w:rsidR="009A505A" w:rsidRPr="009A505A" w:rsidRDefault="009A505A" w:rsidP="009A5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На даний час уже розроблена калькуляція тарифів на 2025 рік, які винесені на розгляд виконавчого комітету </w:t>
      </w:r>
      <w:proofErr w:type="spellStart"/>
      <w:r w:rsidRPr="009A505A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9A505A" w:rsidRPr="009A505A" w:rsidRDefault="009A505A" w:rsidP="009A505A">
      <w:pPr>
        <w:tabs>
          <w:tab w:val="left" w:pos="267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9A505A">
        <w:rPr>
          <w:rFonts w:ascii="Times New Roman" w:hAnsi="Times New Roman" w:cs="Times New Roman"/>
          <w:sz w:val="28"/>
          <w:szCs w:val="28"/>
          <w:lang w:val="uk-UA"/>
        </w:rPr>
        <w:t>Єпідеміологічна</w:t>
      </w:r>
      <w:proofErr w:type="spellEnd"/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ситуація  з </w:t>
      </w:r>
      <w:r w:rsidRPr="009A505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>-19 спричинила нестабільність з оплатою орендної плати за  торгові місця. Також військовий  стан в подальшому не додав стабільності  розвитку підприємства.</w:t>
      </w:r>
    </w:p>
    <w:p w:rsidR="009A505A" w:rsidRPr="009A505A" w:rsidRDefault="009A505A" w:rsidP="009A505A">
      <w:pPr>
        <w:tabs>
          <w:tab w:val="left" w:pos="267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Динаміка доходності КП ЗМР «Міський ринок» (чистий дохід, тис. грн.)</w:t>
      </w:r>
    </w:p>
    <w:p w:rsidR="009A505A" w:rsidRPr="009A505A" w:rsidRDefault="009A505A" w:rsidP="009A505A">
      <w:pPr>
        <w:tabs>
          <w:tab w:val="left" w:pos="2672"/>
        </w:tabs>
        <w:rPr>
          <w:sz w:val="28"/>
          <w:szCs w:val="28"/>
          <w:lang w:val="uk-UA"/>
        </w:rPr>
      </w:pPr>
      <w:r w:rsidRPr="009A505A">
        <w:rPr>
          <w:sz w:val="28"/>
          <w:szCs w:val="28"/>
          <w:lang w:val="uk-UA"/>
        </w:rPr>
        <w:t xml:space="preserve">                      </w:t>
      </w:r>
      <w:r w:rsidRPr="009A505A">
        <w:rPr>
          <w:noProof/>
          <w:lang w:eastAsia="ru-RU"/>
        </w:rPr>
        <w:drawing>
          <wp:inline distT="0" distB="0" distL="0" distR="0" wp14:anchorId="5454BD38" wp14:editId="51EBDCEB">
            <wp:extent cx="4191000" cy="24860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505A" w:rsidRPr="009A505A" w:rsidRDefault="009A505A" w:rsidP="009A505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Чистий дохід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у 2023 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склав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2236,9 тис. грн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., у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2024 році-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2148,9 тис. грн.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Якщо порівняти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рік 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роком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, то чистий дохід в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2024 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зменшився на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88 тис. грн. </w:t>
      </w:r>
    </w:p>
    <w:p w:rsidR="009A505A" w:rsidRPr="009A505A" w:rsidRDefault="009A505A" w:rsidP="009A505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Динаміка чистого прибутку КП ЗМР «Міський ринок»,     тис. грн.</w:t>
      </w:r>
    </w:p>
    <w:p w:rsidR="009A505A" w:rsidRPr="009A505A" w:rsidRDefault="009A505A" w:rsidP="009A505A">
      <w:pPr>
        <w:rPr>
          <w:sz w:val="28"/>
          <w:szCs w:val="28"/>
          <w:lang w:val="uk-UA"/>
        </w:rPr>
      </w:pPr>
      <w:r w:rsidRPr="009A505A">
        <w:rPr>
          <w:sz w:val="28"/>
          <w:szCs w:val="28"/>
          <w:lang w:val="uk-UA"/>
        </w:rPr>
        <w:t xml:space="preserve">                </w:t>
      </w:r>
      <w:r w:rsidRPr="009A505A">
        <w:rPr>
          <w:noProof/>
          <w:lang w:eastAsia="ru-RU"/>
        </w:rPr>
        <w:drawing>
          <wp:inline distT="0" distB="0" distL="0" distR="0" wp14:anchorId="6086F976" wp14:editId="351D18C2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505A" w:rsidRPr="009A505A" w:rsidRDefault="009A505A" w:rsidP="009A505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Чистий прибуток  у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2023 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становив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175,9 тис. грн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., в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2024 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42,7 тис. грн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., що на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133,2 тис. грн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менше, ніж в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2023 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505A" w:rsidRPr="009A505A" w:rsidRDefault="009A505A" w:rsidP="009A5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підприємством було сплачено податків, зборів та платежів в розмірі 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819,1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тис. грн.,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числі:</w:t>
      </w:r>
    </w:p>
    <w:p w:rsidR="009A505A" w:rsidRPr="009A505A" w:rsidRDefault="009A505A" w:rsidP="009A5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-податок  на землю-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107,0 тис. грн.,</w:t>
      </w:r>
    </w:p>
    <w:p w:rsidR="009A505A" w:rsidRPr="009A505A" w:rsidRDefault="009A505A" w:rsidP="009A5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-податок на нерухоме майно-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0,3 тис. грн.,</w:t>
      </w:r>
    </w:p>
    <w:p w:rsidR="009A505A" w:rsidRPr="009A505A" w:rsidRDefault="009A505A" w:rsidP="009A5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-податок на прибуток-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40,1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тис. грн.,</w:t>
      </w:r>
    </w:p>
    <w:p w:rsidR="009A505A" w:rsidRPr="009A505A" w:rsidRDefault="009A505A" w:rsidP="009A5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-частина чистого прибутку-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17,0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тис. грн.,</w:t>
      </w:r>
    </w:p>
    <w:p w:rsidR="009A505A" w:rsidRPr="009A505A" w:rsidRDefault="009A505A" w:rsidP="009A5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-авансовий внесок з дивідендів-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3,1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тис. грн.,</w:t>
      </w:r>
    </w:p>
    <w:p w:rsidR="009A505A" w:rsidRPr="009A505A" w:rsidRDefault="009A505A" w:rsidP="009A5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-ПДФО-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169,8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тис. грн.,</w:t>
      </w:r>
    </w:p>
    <w:p w:rsidR="009A505A" w:rsidRPr="009A505A" w:rsidRDefault="009A505A" w:rsidP="009A5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-військовий збір-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15,3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тис. грн.,</w:t>
      </w:r>
    </w:p>
    <w:p w:rsidR="009A505A" w:rsidRPr="009A505A" w:rsidRDefault="009A505A" w:rsidP="009A5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-податок на додану вартість-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260,0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тис. грн.,</w:t>
      </w:r>
    </w:p>
    <w:p w:rsidR="009A505A" w:rsidRPr="009A505A" w:rsidRDefault="009A505A" w:rsidP="009A5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-ЄСВ –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206,5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тис. грн.</w:t>
      </w:r>
    </w:p>
    <w:p w:rsidR="009A505A" w:rsidRPr="009A505A" w:rsidRDefault="009A505A" w:rsidP="009A5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в порівнянні з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2023 роком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КП ЗМР «Міський ринок» сплатило податків більше на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21,3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тис. грн.</w:t>
      </w:r>
    </w:p>
    <w:p w:rsidR="009A505A" w:rsidRPr="009A505A" w:rsidRDefault="009A505A" w:rsidP="009A50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505A" w:rsidRPr="009A505A" w:rsidRDefault="009A505A" w:rsidP="009A5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Сплата податків до всіх рівнів бюджетів у 2023-2024 роках в цілому на КП ЗМР «Міський ринок»</w:t>
      </w:r>
    </w:p>
    <w:p w:rsidR="009A505A" w:rsidRPr="009A505A" w:rsidRDefault="009A505A" w:rsidP="009A505A">
      <w:pPr>
        <w:spacing w:after="0" w:line="240" w:lineRule="auto"/>
        <w:rPr>
          <w:sz w:val="28"/>
          <w:szCs w:val="28"/>
          <w:lang w:val="uk-UA"/>
        </w:rPr>
      </w:pPr>
      <w:r w:rsidRPr="009A505A">
        <w:rPr>
          <w:sz w:val="28"/>
          <w:szCs w:val="28"/>
          <w:lang w:val="uk-UA"/>
        </w:rPr>
        <w:t xml:space="preserve">                    </w:t>
      </w:r>
      <w:r w:rsidRPr="009A505A">
        <w:rPr>
          <w:noProof/>
          <w:lang w:eastAsia="ru-RU"/>
        </w:rPr>
        <w:drawing>
          <wp:inline distT="0" distB="0" distL="0" distR="0" wp14:anchorId="384B8BBD" wp14:editId="453CB384">
            <wp:extent cx="3819525" cy="20859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A505A" w:rsidRPr="009A505A" w:rsidRDefault="009A505A" w:rsidP="009A505A">
      <w:pPr>
        <w:spacing w:after="0" w:line="240" w:lineRule="auto"/>
        <w:rPr>
          <w:sz w:val="28"/>
          <w:szCs w:val="28"/>
          <w:lang w:val="uk-UA"/>
        </w:rPr>
      </w:pPr>
    </w:p>
    <w:p w:rsidR="009A505A" w:rsidRPr="009A505A" w:rsidRDefault="009A505A" w:rsidP="009A505A">
      <w:pPr>
        <w:jc w:val="both"/>
        <w:rPr>
          <w:rFonts w:ascii="Times New Roman" w:hAnsi="Times New Roman" w:cs="Times New Roman"/>
          <w:color w:val="5B9BD5" w:themeColor="accent1"/>
          <w:sz w:val="28"/>
          <w:szCs w:val="28"/>
          <w:lang w:val="uk-UA"/>
        </w:rPr>
      </w:pPr>
      <w:r w:rsidRPr="009A505A">
        <w:rPr>
          <w:sz w:val="32"/>
          <w:szCs w:val="28"/>
          <w:lang w:val="uk-UA"/>
        </w:rPr>
        <w:lastRenderedPageBreak/>
        <w:t xml:space="preserve"> </w:t>
      </w:r>
      <w:r w:rsidRPr="009A505A">
        <w:rPr>
          <w:sz w:val="32"/>
          <w:szCs w:val="28"/>
          <w:lang w:val="uk-UA"/>
        </w:rPr>
        <w:tab/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2023 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 комунальне  підприємство «Міський ринок» сплатило податків до всіх рівнів бюджетів на суму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797,8 тис. грн.,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2024 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819,1 тис. грн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. Якщо  взяти в порівнянні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2023 рік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2024 рік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, то в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2024 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сплачено податків на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21,3 тис. грн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>. більше.</w:t>
      </w:r>
    </w:p>
    <w:p w:rsidR="009A505A" w:rsidRPr="009A505A" w:rsidRDefault="009A505A" w:rsidP="009A505A">
      <w:pPr>
        <w:rPr>
          <w:sz w:val="28"/>
          <w:szCs w:val="28"/>
          <w:lang w:val="uk-UA"/>
        </w:rPr>
      </w:pPr>
      <w:r w:rsidRPr="009A505A">
        <w:rPr>
          <w:sz w:val="28"/>
          <w:szCs w:val="28"/>
          <w:lang w:val="uk-UA"/>
        </w:rPr>
        <w:t xml:space="preserve">                </w:t>
      </w:r>
      <w:r w:rsidRPr="009A505A">
        <w:rPr>
          <w:noProof/>
          <w:lang w:eastAsia="ru-RU"/>
        </w:rPr>
        <w:drawing>
          <wp:inline distT="0" distB="0" distL="0" distR="0" wp14:anchorId="44BFB156" wp14:editId="0902F6AE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505A" w:rsidRPr="009A505A" w:rsidRDefault="009A505A" w:rsidP="009A50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sz w:val="32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Якщо взяти у розрізі, то </w:t>
      </w:r>
    </w:p>
    <w:p w:rsidR="009A505A" w:rsidRPr="009A505A" w:rsidRDefault="009A505A" w:rsidP="009A505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державного бюджету в </w:t>
      </w:r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2023 році</w:t>
      </w:r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було </w:t>
      </w:r>
      <w:proofErr w:type="spellStart"/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сплочено</w:t>
      </w:r>
      <w:proofErr w:type="spellEnd"/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290,5 </w:t>
      </w:r>
      <w:proofErr w:type="spellStart"/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тис.грн</w:t>
      </w:r>
      <w:proofErr w:type="spellEnd"/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., в </w:t>
      </w:r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2024 році  </w:t>
      </w:r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303,2 </w:t>
      </w:r>
      <w:proofErr w:type="spellStart"/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тис.грн</w:t>
      </w:r>
      <w:proofErr w:type="spellEnd"/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.;</w:t>
      </w:r>
    </w:p>
    <w:p w:rsidR="009A505A" w:rsidRPr="009A505A" w:rsidRDefault="009A505A" w:rsidP="009A505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місцевого бюджету в </w:t>
      </w:r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2023 році</w:t>
      </w:r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було </w:t>
      </w:r>
      <w:proofErr w:type="spellStart"/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сплочено</w:t>
      </w:r>
      <w:proofErr w:type="spellEnd"/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339,1 </w:t>
      </w:r>
      <w:proofErr w:type="spellStart"/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тис.грн</w:t>
      </w:r>
      <w:proofErr w:type="spellEnd"/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., в </w:t>
      </w:r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2024 році  </w:t>
      </w:r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309,4 </w:t>
      </w:r>
      <w:proofErr w:type="spellStart"/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тис.грн</w:t>
      </w:r>
      <w:proofErr w:type="spellEnd"/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.;</w:t>
      </w:r>
    </w:p>
    <w:p w:rsidR="009A505A" w:rsidRPr="009A505A" w:rsidRDefault="009A505A" w:rsidP="009A505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ЄСВ  в </w:t>
      </w:r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2023 році</w:t>
      </w:r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було </w:t>
      </w:r>
      <w:proofErr w:type="spellStart"/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сплочено</w:t>
      </w:r>
      <w:proofErr w:type="spellEnd"/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168,2 </w:t>
      </w:r>
      <w:proofErr w:type="spellStart"/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тис.грн</w:t>
      </w:r>
      <w:proofErr w:type="spellEnd"/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., в </w:t>
      </w:r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2024 році - 206,5</w:t>
      </w:r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тис.грн</w:t>
      </w:r>
      <w:proofErr w:type="spellEnd"/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.;</w:t>
      </w:r>
    </w:p>
    <w:p w:rsidR="009A505A" w:rsidRPr="009A505A" w:rsidRDefault="009A505A" w:rsidP="009A505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A505A" w:rsidRPr="009A505A" w:rsidRDefault="009A505A" w:rsidP="009A505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військовим   станом у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2023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багато підприємців виїхало за кордон. Тимчасово позакривались торгові павільйони. Дехто пішов захищати Україну. Саме тому утворилась дебіторська заборгованість та, в порівнянні з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2023 роком,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 у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вона зросла. Так, в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2023 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вона становила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422,5 </w:t>
      </w:r>
      <w:proofErr w:type="spellStart"/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., а в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2024 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464,0 </w:t>
      </w:r>
      <w:proofErr w:type="spellStart"/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., що на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41,5 тис. грн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. більше, ніж в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2023 році.</w:t>
      </w:r>
    </w:p>
    <w:p w:rsidR="009A505A" w:rsidRPr="009A505A" w:rsidRDefault="009A505A" w:rsidP="009A505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505A">
        <w:rPr>
          <w:noProof/>
          <w:lang w:eastAsia="ru-RU"/>
        </w:rPr>
        <w:drawing>
          <wp:inline distT="0" distB="0" distL="0" distR="0" wp14:anchorId="51BE1ACC" wp14:editId="0516D6AF">
            <wp:extent cx="4591050" cy="22193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A505A" w:rsidRPr="009A505A" w:rsidRDefault="009A505A" w:rsidP="009A5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05A" w:rsidRPr="009A505A" w:rsidRDefault="009A505A" w:rsidP="003743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Підприємці, у яких утворилась дебіторська заборгованість, частково, по мірі можливості, її сплачують. Так, в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січні 2025 року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уже декілька підприємців частково погасили свою заборгованість в загальній сумі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40 тис. грн.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505A" w:rsidRPr="009A505A" w:rsidRDefault="009A505A" w:rsidP="003743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            Впродовж всього періоду, відколи утворилась дебіторська заборгованість, велась претензійна  робота з боржниками: їх запрошували на співбесіди, неодноразово писали листи з вимогою негайно погасити існуючу заборгованість.</w:t>
      </w:r>
    </w:p>
    <w:p w:rsidR="009A505A" w:rsidRPr="009A505A" w:rsidRDefault="009A505A" w:rsidP="003743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           Підприємці не відмовляються сплатити заборгованість. Вони її поступово сплачують.  Але із-за нестабільної ситуації з реалізацією товарів, вони не мають можливості сплатити її негайно та в повному обсязі.</w:t>
      </w:r>
    </w:p>
    <w:p w:rsidR="009A505A" w:rsidRPr="009A505A" w:rsidRDefault="009A505A" w:rsidP="009A5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          Адміністрація підприємства неодноразово зверталась за консультаціями до юристів  з ціллю вирішення питання сплати підприємцями дебіторської заборгованості, та надалі продовжуємо це робити.</w:t>
      </w:r>
    </w:p>
    <w:p w:rsidR="009A505A" w:rsidRPr="009A505A" w:rsidRDefault="009A505A" w:rsidP="009A5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       В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2023 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 на території  КП ЗМР  «Міський ринок» за кошти підприємства був встановлений сучасний павільйон з двох-стороннім рядом під накриттям для продажу сільськогосподарської продукції, вартість якого склала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125,0 тис. грн., 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>в тому числі:</w:t>
      </w:r>
    </w:p>
    <w:p w:rsidR="009A505A" w:rsidRPr="009A505A" w:rsidRDefault="009A505A" w:rsidP="009A5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-металоконструкція навісу -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88,0 тис. грн;</w:t>
      </w:r>
    </w:p>
    <w:p w:rsidR="009A505A" w:rsidRPr="009A505A" w:rsidRDefault="009A505A" w:rsidP="009A5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-монтаж металоконструкції навісу-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37,0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тис. грн.</w:t>
      </w:r>
    </w:p>
    <w:p w:rsidR="009A505A" w:rsidRPr="009A505A" w:rsidRDefault="009A505A" w:rsidP="009A50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>На КП ЗМР  «Міський ринок», згідно оновленої планувальної документації, була запроваджена нова нумерація торгових павільйонів.</w:t>
      </w:r>
    </w:p>
    <w:p w:rsidR="009A505A" w:rsidRDefault="009A505A" w:rsidP="009A5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          По мірі необхідності на території КП ЗМР «Міський ринок» власними силами за кошти підприємства проводяться ямкові ремонти тротуарів, частковий ремонт огорожі, фарбуються та приводяться у відповідний санітарний стан столи для реалізації сільськогосподарської продукції для населення.</w:t>
      </w:r>
    </w:p>
    <w:p w:rsidR="00076952" w:rsidRDefault="00076952" w:rsidP="009A5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6952" w:rsidRPr="009A505A" w:rsidRDefault="00076952" w:rsidP="009A5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05A" w:rsidRDefault="00076952">
      <w:r w:rsidRPr="00F51DF9">
        <w:rPr>
          <w:rFonts w:ascii="Times New Roman" w:hAnsi="Times New Roman" w:cs="Times New Roman"/>
          <w:sz w:val="28"/>
          <w:szCs w:val="28"/>
          <w:lang w:val="uk-UA"/>
        </w:rPr>
        <w:t>Директор КП ЗМР «Міський ринок»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Наталія БОГДАНЧУК</w:t>
      </w:r>
    </w:p>
    <w:sectPr w:rsidR="009A505A" w:rsidSect="0037436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5F5F"/>
    <w:multiLevelType w:val="multilevel"/>
    <w:tmpl w:val="FA2C1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1748A"/>
    <w:multiLevelType w:val="hybridMultilevel"/>
    <w:tmpl w:val="AF107080"/>
    <w:lvl w:ilvl="0" w:tplc="3B7E99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73065F0"/>
    <w:multiLevelType w:val="hybridMultilevel"/>
    <w:tmpl w:val="FCC489D2"/>
    <w:lvl w:ilvl="0" w:tplc="B3C2B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9F"/>
    <w:rsid w:val="00072733"/>
    <w:rsid w:val="00076952"/>
    <w:rsid w:val="0028630B"/>
    <w:rsid w:val="00374363"/>
    <w:rsid w:val="004F2055"/>
    <w:rsid w:val="00615260"/>
    <w:rsid w:val="007C7A9F"/>
    <w:rsid w:val="009A505A"/>
    <w:rsid w:val="009B4192"/>
    <w:rsid w:val="00E8150F"/>
    <w:rsid w:val="00E9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C8A0"/>
  <w15:chartTrackingRefBased/>
  <w15:docId w15:val="{02608049-2102-494A-AC84-65EBB23A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2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Лист1!$B$2:$C$2</c:f>
              <c:strCache>
                <c:ptCount val="2"/>
                <c:pt idx="0">
                  <c:v>2023 рік</c:v>
                </c:pt>
                <c:pt idx="1">
                  <c:v>2024 рік 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2236.9</c:v>
                </c:pt>
                <c:pt idx="1">
                  <c:v>2148.9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32-4B25-B839-91DE7E0A98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7965592"/>
        <c:axId val="307965920"/>
      </c:barChart>
      <c:catAx>
        <c:axId val="307965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965920"/>
        <c:crosses val="autoZero"/>
        <c:auto val="1"/>
        <c:lblAlgn val="ctr"/>
        <c:lblOffset val="100"/>
        <c:noMultiLvlLbl val="0"/>
      </c:catAx>
      <c:valAx>
        <c:axId val="30796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965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Лист1!$B$2:$C$2</c:f>
              <c:strCache>
                <c:ptCount val="2"/>
                <c:pt idx="0">
                  <c:v>2023 рік</c:v>
                </c:pt>
                <c:pt idx="1">
                  <c:v>2024 рік 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175.9</c:v>
                </c:pt>
                <c:pt idx="1">
                  <c:v>133.19999999999999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A2-486B-9D14-23CC257206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7965592"/>
        <c:axId val="307965920"/>
      </c:barChart>
      <c:catAx>
        <c:axId val="307965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965920"/>
        <c:crosses val="autoZero"/>
        <c:auto val="1"/>
        <c:lblAlgn val="ctr"/>
        <c:lblOffset val="100"/>
        <c:noMultiLvlLbl val="0"/>
      </c:catAx>
      <c:valAx>
        <c:axId val="30796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965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Лист1!$B$2:$C$2</c:f>
              <c:strCache>
                <c:ptCount val="2"/>
                <c:pt idx="0">
                  <c:v>2023 рік</c:v>
                </c:pt>
                <c:pt idx="1">
                  <c:v>2024 рік 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797.8</c:v>
                </c:pt>
                <c:pt idx="1">
                  <c:v>819.1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C3-4639-AF37-D051C8C3D0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7965592"/>
        <c:axId val="307965920"/>
      </c:barChart>
      <c:catAx>
        <c:axId val="307965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965920"/>
        <c:crosses val="autoZero"/>
        <c:auto val="1"/>
        <c:lblAlgn val="ctr"/>
        <c:lblOffset val="100"/>
        <c:noMultiLvlLbl val="0"/>
      </c:catAx>
      <c:valAx>
        <c:axId val="30796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965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Лист1!$B$1:$G$2</c:f>
              <c:multiLvlStrCache>
                <c:ptCount val="6"/>
                <c:lvl>
                  <c:pt idx="0">
                    <c:v>2023 рік</c:v>
                  </c:pt>
                  <c:pt idx="1">
                    <c:v>2024 рік </c:v>
                  </c:pt>
                  <c:pt idx="2">
                    <c:v>2023 рік</c:v>
                  </c:pt>
                  <c:pt idx="3">
                    <c:v>2024 рік </c:v>
                  </c:pt>
                  <c:pt idx="4">
                    <c:v>2023 рік</c:v>
                  </c:pt>
                  <c:pt idx="5">
                    <c:v>2024 рік </c:v>
                  </c:pt>
                </c:lvl>
                <c:lvl>
                  <c:pt idx="0">
                    <c:v>державний бюджет</c:v>
                  </c:pt>
                  <c:pt idx="2">
                    <c:v>місцевий бюджет </c:v>
                  </c:pt>
                  <c:pt idx="4">
                    <c:v>     ЄСВ</c:v>
                  </c:pt>
                </c:lvl>
              </c:multiLvlStrCache>
            </c:multiLvl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290.5</c:v>
                </c:pt>
                <c:pt idx="1">
                  <c:v>303.2</c:v>
                </c:pt>
                <c:pt idx="2">
                  <c:v>339.1</c:v>
                </c:pt>
                <c:pt idx="3">
                  <c:v>309.39999999999998</c:v>
                </c:pt>
                <c:pt idx="4">
                  <c:v>168.2</c:v>
                </c:pt>
                <c:pt idx="5">
                  <c:v>206.5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91-4700-A00A-BABE2916A7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1887680"/>
        <c:axId val="311534096"/>
      </c:barChart>
      <c:catAx>
        <c:axId val="31188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534096"/>
        <c:crosses val="autoZero"/>
        <c:auto val="1"/>
        <c:lblAlgn val="ctr"/>
        <c:lblOffset val="100"/>
        <c:noMultiLvlLbl val="0"/>
      </c:catAx>
      <c:valAx>
        <c:axId val="31153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887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Лист1!$B$1:$G$2</c:f>
              <c:multiLvlStrCache>
                <c:ptCount val="2"/>
                <c:lvl>
                  <c:pt idx="0">
                    <c:v>2023 рік</c:v>
                  </c:pt>
                  <c:pt idx="1">
                    <c:v>2024 рік </c:v>
                  </c:pt>
                </c:lvl>
                <c:lvl>
                  <c:pt idx="0">
                    <c:v>Дебіторська заборгованість на КП ЗМР "Міський ринок"</c:v>
                  </c:pt>
                </c:lvl>
              </c:multiLvlStrCache>
            </c:multiLvl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422.5</c:v>
                </c:pt>
                <c:pt idx="1">
                  <c:v>464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18-4E30-92CA-3A0A7C98C4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1887680"/>
        <c:axId val="311534096"/>
      </c:barChart>
      <c:catAx>
        <c:axId val="31188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534096"/>
        <c:crosses val="autoZero"/>
        <c:auto val="1"/>
        <c:lblAlgn val="ctr"/>
        <c:lblOffset val="100"/>
        <c:noMultiLvlLbl val="0"/>
      </c:catAx>
      <c:valAx>
        <c:axId val="31153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887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2025-02-19T06:33:00Z</cp:lastPrinted>
  <dcterms:created xsi:type="dcterms:W3CDTF">2025-02-06T08:18:00Z</dcterms:created>
  <dcterms:modified xsi:type="dcterms:W3CDTF">2025-02-19T06:34:00Z</dcterms:modified>
</cp:coreProperties>
</file>