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BA" w:rsidRDefault="00015DBA"/>
    <w:tbl>
      <w:tblPr>
        <w:tblW w:w="99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7BAC" w:rsidTr="000C4FDD">
        <w:trPr>
          <w:trHeight w:val="359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</w:tcPr>
          <w:p w:rsidR="00287BAC" w:rsidRDefault="00287BAC">
            <w:pPr>
              <w:keepNext/>
              <w:spacing w:before="240" w:after="60" w:line="276" w:lineRule="auto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noProof/>
                <w:kern w:val="32"/>
                <w:sz w:val="28"/>
                <w:szCs w:val="28"/>
                <w:lang w:val="ru-RU"/>
              </w:rPr>
              <w:drawing>
                <wp:inline distT="0" distB="0" distL="0" distR="0">
                  <wp:extent cx="447675" cy="6096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287BAC" w:rsidRDefault="00287B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ЗВЯГЕЛЬСЬКА МІСЬКА РАДА</w:t>
            </w:r>
          </w:p>
          <w:p w:rsidR="00287BAC" w:rsidRDefault="00287B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РІШЕННЯ</w:t>
            </w:r>
          </w:p>
          <w:p w:rsidR="00287BAC" w:rsidRDefault="00287BA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525355" w:rsidP="000C4FDD">
            <w:pPr>
              <w:spacing w:line="276" w:lineRule="auto"/>
              <w:ind w:left="742" w:right="-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шістдесят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друга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87BAC">
              <w:rPr>
                <w:sz w:val="28"/>
                <w:szCs w:val="28"/>
                <w:lang w:val="ru-RU"/>
              </w:rPr>
              <w:t>сесія</w:t>
            </w:r>
            <w:proofErr w:type="spellEnd"/>
            <w:proofErr w:type="gramEnd"/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  <w:t xml:space="preserve">       </w:t>
            </w:r>
            <w:r w:rsidR="000C4FDD">
              <w:rPr>
                <w:sz w:val="28"/>
                <w:szCs w:val="28"/>
                <w:lang w:val="ru-RU"/>
              </w:rPr>
              <w:t xml:space="preserve">       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="00287BAC">
              <w:rPr>
                <w:sz w:val="28"/>
                <w:szCs w:val="28"/>
                <w:lang w:val="ru-RU"/>
              </w:rPr>
              <w:t xml:space="preserve">    восьмого скликання</w:t>
            </w:r>
          </w:p>
          <w:p w:rsidR="00913E30" w:rsidRDefault="00913E30" w:rsidP="000C4FDD">
            <w:pPr>
              <w:spacing w:line="276" w:lineRule="auto"/>
              <w:ind w:left="742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913E30" w:rsidP="000C4FDD">
            <w:pPr>
              <w:spacing w:line="276" w:lineRule="auto"/>
              <w:ind w:left="7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24.04.2025</w:t>
            </w:r>
            <w:r w:rsidR="00287BAC">
              <w:rPr>
                <w:sz w:val="28"/>
                <w:szCs w:val="28"/>
                <w:lang w:val="ru-RU"/>
              </w:rPr>
              <w:t xml:space="preserve"> </w:t>
            </w:r>
            <w:r w:rsidR="000C4FDD">
              <w:rPr>
                <w:sz w:val="28"/>
                <w:szCs w:val="28"/>
                <w:lang w:val="ru-RU"/>
              </w:rPr>
              <w:t xml:space="preserve">  </w:t>
            </w:r>
            <w:r w:rsidR="000C4FDD">
              <w:rPr>
                <w:sz w:val="28"/>
                <w:szCs w:val="28"/>
                <w:lang w:val="ru-RU"/>
              </w:rPr>
              <w:tab/>
              <w:t xml:space="preserve">                    </w:t>
            </w:r>
            <w:r w:rsidR="00713618">
              <w:rPr>
                <w:sz w:val="28"/>
                <w:szCs w:val="28"/>
                <w:lang w:val="ru-RU"/>
              </w:rPr>
              <w:t xml:space="preserve">                                             № </w:t>
            </w:r>
            <w:r>
              <w:rPr>
                <w:sz w:val="28"/>
                <w:szCs w:val="28"/>
                <w:lang w:val="ru-RU"/>
              </w:rPr>
              <w:t>1472</w:t>
            </w:r>
          </w:p>
          <w:p w:rsidR="00287BAC" w:rsidRDefault="00287BAC">
            <w:pPr>
              <w:spacing w:line="276" w:lineRule="auto"/>
              <w:rPr>
                <w:sz w:val="2"/>
                <w:szCs w:val="2"/>
                <w:lang w:val="ru-RU"/>
              </w:rPr>
            </w:pPr>
          </w:p>
        </w:tc>
      </w:tr>
    </w:tbl>
    <w:p w:rsidR="00913E30" w:rsidRDefault="00913E30" w:rsidP="000C4FDD">
      <w:pPr>
        <w:ind w:right="4355"/>
        <w:jc w:val="both"/>
        <w:rPr>
          <w:bCs/>
          <w:sz w:val="28"/>
          <w:szCs w:val="28"/>
        </w:rPr>
      </w:pPr>
    </w:p>
    <w:p w:rsidR="00287BAC" w:rsidRDefault="00287BAC" w:rsidP="000C4FDD">
      <w:pPr>
        <w:ind w:right="43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525355">
        <w:rPr>
          <w:bCs/>
          <w:sz w:val="28"/>
          <w:szCs w:val="28"/>
        </w:rPr>
        <w:t xml:space="preserve">внесення змін до </w:t>
      </w:r>
      <w:r>
        <w:rPr>
          <w:bCs/>
          <w:sz w:val="28"/>
          <w:szCs w:val="28"/>
        </w:rPr>
        <w:t xml:space="preserve"> Програми приватизації та управління комунальним майном на 2025-2027 роки</w:t>
      </w:r>
    </w:p>
    <w:p w:rsidR="00287BAC" w:rsidRDefault="00287BAC" w:rsidP="00287BAC">
      <w:pPr>
        <w:ind w:firstLine="540"/>
        <w:rPr>
          <w:bCs/>
          <w:sz w:val="28"/>
          <w:szCs w:val="28"/>
        </w:rPr>
      </w:pPr>
    </w:p>
    <w:p w:rsidR="00287BAC" w:rsidRDefault="00287BAC" w:rsidP="00287B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пунктом 22 частиною 1 статті 26, частиною 1 статті 59 Закону України «Про місцеве самоврядування в Україні»,  статтею 70,    пунктом 14 частиною 1 статті 91 Бюджетного кодексу України, враховуючи рішення міської ради від 25.04.2024 № 1188 «Про затвердження Порядку розроблення, моніторингу місцевих цільових програм та звітності про їх виконання»,    розпорядження міського голови </w:t>
      </w:r>
      <w:r w:rsidRPr="00080166">
        <w:rPr>
          <w:color w:val="000000" w:themeColor="text1"/>
          <w:spacing w:val="-3"/>
          <w:sz w:val="28"/>
          <w:szCs w:val="28"/>
        </w:rPr>
        <w:t xml:space="preserve">від </w:t>
      </w:r>
      <w:r w:rsidR="00360931" w:rsidRPr="00080166">
        <w:rPr>
          <w:color w:val="000000" w:themeColor="text1"/>
          <w:spacing w:val="-3"/>
          <w:sz w:val="28"/>
          <w:szCs w:val="28"/>
        </w:rPr>
        <w:t>02.04.2025</w:t>
      </w:r>
      <w:r w:rsidRPr="00080166">
        <w:rPr>
          <w:color w:val="000000" w:themeColor="text1"/>
          <w:spacing w:val="-3"/>
          <w:sz w:val="28"/>
          <w:szCs w:val="28"/>
        </w:rPr>
        <w:t xml:space="preserve"> № </w:t>
      </w:r>
      <w:r w:rsidR="00080166" w:rsidRPr="00080166">
        <w:rPr>
          <w:color w:val="000000" w:themeColor="text1"/>
          <w:spacing w:val="-3"/>
          <w:sz w:val="28"/>
          <w:szCs w:val="28"/>
        </w:rPr>
        <w:t>87</w:t>
      </w:r>
      <w:r w:rsidRPr="00080166">
        <w:rPr>
          <w:color w:val="000000" w:themeColor="text1"/>
          <w:spacing w:val="-3"/>
          <w:sz w:val="28"/>
          <w:szCs w:val="28"/>
        </w:rPr>
        <w:t xml:space="preserve"> (0) </w:t>
      </w:r>
      <w:r>
        <w:rPr>
          <w:color w:val="000000"/>
          <w:spacing w:val="-3"/>
          <w:sz w:val="28"/>
          <w:szCs w:val="28"/>
        </w:rPr>
        <w:t>«Про створення робочої групи з підготовки про</w:t>
      </w:r>
      <w:r w:rsidR="00525355">
        <w:rPr>
          <w:color w:val="000000"/>
          <w:spacing w:val="-3"/>
          <w:sz w:val="28"/>
          <w:szCs w:val="28"/>
        </w:rPr>
        <w:t>є</w:t>
      </w:r>
      <w:r>
        <w:rPr>
          <w:color w:val="000000"/>
          <w:spacing w:val="-3"/>
          <w:sz w:val="28"/>
          <w:szCs w:val="28"/>
        </w:rPr>
        <w:t>кту</w:t>
      </w:r>
      <w:r w:rsidR="001569D9">
        <w:rPr>
          <w:color w:val="000000"/>
          <w:spacing w:val="-3"/>
          <w:sz w:val="28"/>
          <w:szCs w:val="28"/>
        </w:rPr>
        <w:t xml:space="preserve"> рішення міської ради «Про внесення змін до </w:t>
      </w:r>
      <w:r>
        <w:rPr>
          <w:color w:val="000000"/>
          <w:spacing w:val="-3"/>
          <w:sz w:val="28"/>
          <w:szCs w:val="28"/>
        </w:rPr>
        <w:t xml:space="preserve"> Програми приватизації та управління комунальним майном на 2025-2027 роки»,</w:t>
      </w:r>
      <w:r>
        <w:rPr>
          <w:sz w:val="28"/>
          <w:szCs w:val="28"/>
        </w:rPr>
        <w:t xml:space="preserve"> рішення виконавчого комітету міської ради від </w:t>
      </w:r>
      <w:r w:rsidR="00360931" w:rsidRPr="00EE6FE3">
        <w:rPr>
          <w:sz w:val="28"/>
          <w:szCs w:val="28"/>
        </w:rPr>
        <w:t>23.04</w:t>
      </w:r>
      <w:r w:rsidRPr="00EE6FE3">
        <w:rPr>
          <w:sz w:val="28"/>
          <w:szCs w:val="28"/>
        </w:rPr>
        <w:t>.202</w:t>
      </w:r>
      <w:r w:rsidR="00360931" w:rsidRPr="00EE6FE3">
        <w:rPr>
          <w:sz w:val="28"/>
          <w:szCs w:val="28"/>
        </w:rPr>
        <w:t>5</w:t>
      </w:r>
      <w:r w:rsidRPr="00EE6FE3">
        <w:rPr>
          <w:sz w:val="28"/>
          <w:szCs w:val="28"/>
        </w:rPr>
        <w:t xml:space="preserve"> №</w:t>
      </w:r>
      <w:r w:rsidR="00EE6FE3" w:rsidRPr="00EE6FE3">
        <w:rPr>
          <w:sz w:val="28"/>
          <w:szCs w:val="28"/>
        </w:rPr>
        <w:t>1481</w:t>
      </w:r>
      <w:r w:rsidRPr="00EE6FE3">
        <w:rPr>
          <w:sz w:val="28"/>
          <w:szCs w:val="28"/>
        </w:rPr>
        <w:t xml:space="preserve"> </w:t>
      </w:r>
      <w:r w:rsidRPr="00080166">
        <w:rPr>
          <w:color w:val="000000" w:themeColor="text1"/>
          <w:sz w:val="28"/>
          <w:szCs w:val="28"/>
        </w:rPr>
        <w:t>«</w:t>
      </w:r>
      <w:r w:rsidRPr="00080166">
        <w:rPr>
          <w:color w:val="000000" w:themeColor="text1"/>
          <w:spacing w:val="-10"/>
          <w:sz w:val="28"/>
          <w:szCs w:val="28"/>
        </w:rPr>
        <w:t>Про погодження про</w:t>
      </w:r>
      <w:r w:rsidR="00525355" w:rsidRPr="00080166">
        <w:rPr>
          <w:color w:val="000000" w:themeColor="text1"/>
          <w:spacing w:val="-10"/>
          <w:sz w:val="28"/>
          <w:szCs w:val="28"/>
        </w:rPr>
        <w:t>є</w:t>
      </w:r>
      <w:r w:rsidRPr="00080166">
        <w:rPr>
          <w:color w:val="000000" w:themeColor="text1"/>
          <w:spacing w:val="-10"/>
          <w:sz w:val="28"/>
          <w:szCs w:val="28"/>
        </w:rPr>
        <w:t xml:space="preserve">кту </w:t>
      </w:r>
      <w:r w:rsidR="001569D9" w:rsidRPr="00080166">
        <w:rPr>
          <w:color w:val="000000" w:themeColor="text1"/>
          <w:spacing w:val="-10"/>
          <w:sz w:val="28"/>
          <w:szCs w:val="28"/>
        </w:rPr>
        <w:t xml:space="preserve"> рішення міської ради «Про внесення змін до </w:t>
      </w:r>
      <w:r w:rsidRPr="00080166">
        <w:rPr>
          <w:color w:val="000000" w:themeColor="text1"/>
          <w:spacing w:val="-10"/>
          <w:sz w:val="28"/>
          <w:szCs w:val="28"/>
        </w:rPr>
        <w:t xml:space="preserve">Програми </w:t>
      </w:r>
      <w:r w:rsidRPr="00080166">
        <w:rPr>
          <w:color w:val="000000" w:themeColor="text1"/>
          <w:sz w:val="28"/>
          <w:szCs w:val="28"/>
        </w:rPr>
        <w:t>при</w:t>
      </w:r>
      <w:r>
        <w:rPr>
          <w:sz w:val="28"/>
          <w:szCs w:val="28"/>
        </w:rPr>
        <w:t>ватизації та управління комунальним майном на 2025-2027 роки»</w:t>
      </w:r>
      <w:r w:rsidR="00F33202">
        <w:rPr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з метою забезпечення збільшення дохідної частини бюджету міської територіальної громади, а також ефективного використання та утримання об’єктів комунальної власності,  міська рада  </w:t>
      </w: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ВИРІШИЛА: </w:t>
      </w:r>
    </w:p>
    <w:p w:rsidR="005A60FE" w:rsidRDefault="005A60FE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525355" w:rsidP="00287BA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Внести зміни до Програми</w:t>
      </w:r>
      <w:r w:rsidR="00287BAC">
        <w:rPr>
          <w:color w:val="000000"/>
          <w:spacing w:val="-3"/>
          <w:sz w:val="28"/>
          <w:szCs w:val="28"/>
        </w:rPr>
        <w:t xml:space="preserve"> приватизації та управління комунальним майном на 2025-2027 роки</w:t>
      </w:r>
      <w:r w:rsidR="001726E0">
        <w:rPr>
          <w:color w:val="000000"/>
          <w:spacing w:val="-3"/>
          <w:sz w:val="28"/>
          <w:szCs w:val="28"/>
        </w:rPr>
        <w:t>, затвердженої</w:t>
      </w:r>
      <w:r w:rsidR="00080166">
        <w:rPr>
          <w:color w:val="000000"/>
          <w:spacing w:val="-3"/>
          <w:sz w:val="28"/>
          <w:szCs w:val="28"/>
        </w:rPr>
        <w:t xml:space="preserve"> рішенням міської ради від 19.12.2024 </w:t>
      </w:r>
      <w:r w:rsidR="00080166">
        <w:rPr>
          <w:color w:val="000000"/>
          <w:spacing w:val="-3"/>
          <w:sz w:val="28"/>
          <w:szCs w:val="28"/>
        </w:rPr>
        <w:br/>
        <w:t>№ 1380</w:t>
      </w:r>
      <w:r w:rsidR="001569D9">
        <w:rPr>
          <w:color w:val="000000"/>
          <w:spacing w:val="-3"/>
          <w:sz w:val="28"/>
          <w:szCs w:val="28"/>
        </w:rPr>
        <w:t xml:space="preserve"> </w:t>
      </w:r>
      <w:r w:rsidR="00080166">
        <w:rPr>
          <w:color w:val="000000"/>
          <w:spacing w:val="-3"/>
          <w:sz w:val="28"/>
          <w:szCs w:val="28"/>
        </w:rPr>
        <w:t>т</w:t>
      </w:r>
      <w:r w:rsidR="001569D9">
        <w:rPr>
          <w:color w:val="000000"/>
          <w:spacing w:val="-3"/>
          <w:sz w:val="28"/>
          <w:szCs w:val="28"/>
        </w:rPr>
        <w:t>а викласти її в новій редакції</w:t>
      </w:r>
      <w:r w:rsidR="00287BAC">
        <w:rPr>
          <w:color w:val="000000"/>
          <w:spacing w:val="-3"/>
          <w:sz w:val="28"/>
          <w:szCs w:val="28"/>
        </w:rPr>
        <w:t xml:space="preserve"> згідно з додатком.</w:t>
      </w:r>
    </w:p>
    <w:p w:rsidR="00287BAC" w:rsidRDefault="00360931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287BAC">
        <w:rPr>
          <w:color w:val="000000"/>
          <w:spacing w:val="-3"/>
          <w:sz w:val="28"/>
          <w:szCs w:val="28"/>
        </w:rPr>
        <w:t xml:space="preserve">. </w:t>
      </w:r>
      <w:r w:rsidR="00287BAC">
        <w:rPr>
          <w:sz w:val="28"/>
          <w:szCs w:val="28"/>
        </w:rPr>
        <w:t xml:space="preserve">Контроль за виконанням цього рішення покласти на </w:t>
      </w:r>
      <w:r w:rsidR="00287BAC">
        <w:rPr>
          <w:rStyle w:val="1943"/>
          <w:rFonts w:eastAsiaTheme="majorEastAsia"/>
          <w:sz w:val="28"/>
          <w:szCs w:val="28"/>
          <w:shd w:val="clear" w:color="auto" w:fill="FFFFFF"/>
        </w:rPr>
        <w:t>постійну комісію</w:t>
      </w:r>
      <w:r w:rsidR="00287BAC">
        <w:rPr>
          <w:rStyle w:val="194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287BAC" w:rsidRPr="00287BAC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 w:rsidR="00287BAC">
        <w:rPr>
          <w:rStyle w:val="1946"/>
          <w:rFonts w:eastAsiaTheme="majorEastAsia"/>
          <w:color w:val="000000"/>
          <w:sz w:val="28"/>
          <w:szCs w:val="28"/>
        </w:rPr>
        <w:t xml:space="preserve"> </w:t>
      </w:r>
      <w:r w:rsidR="00BB025C">
        <w:rPr>
          <w:sz w:val="28"/>
          <w:szCs w:val="28"/>
        </w:rPr>
        <w:t>і</w:t>
      </w:r>
      <w:r w:rsidR="00287BAC">
        <w:rPr>
          <w:sz w:val="28"/>
          <w:szCs w:val="28"/>
        </w:rPr>
        <w:t xml:space="preserve"> заступника міського голови </w:t>
      </w:r>
      <w:proofErr w:type="spellStart"/>
      <w:r w:rsidR="00287BAC">
        <w:rPr>
          <w:sz w:val="28"/>
          <w:szCs w:val="28"/>
        </w:rPr>
        <w:t>Гудзя</w:t>
      </w:r>
      <w:proofErr w:type="spellEnd"/>
      <w:r w:rsidR="00287BAC">
        <w:rPr>
          <w:sz w:val="28"/>
          <w:szCs w:val="28"/>
        </w:rPr>
        <w:t xml:space="preserve"> Д.С.</w:t>
      </w:r>
    </w:p>
    <w:p w:rsidR="00287BAC" w:rsidRDefault="00287BAC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0C4FDD">
        <w:rPr>
          <w:sz w:val="28"/>
          <w:szCs w:val="28"/>
        </w:rPr>
        <w:t xml:space="preserve">    </w:t>
      </w:r>
      <w:r>
        <w:rPr>
          <w:sz w:val="28"/>
          <w:szCs w:val="28"/>
        </w:rPr>
        <w:t>Микола БОРОВЕЦЬ</w:t>
      </w:r>
    </w:p>
    <w:p w:rsidR="00015DBA" w:rsidRDefault="00015DBA">
      <w:pPr>
        <w:spacing w:after="200" w:line="276" w:lineRule="auto"/>
        <w:rPr>
          <w:sz w:val="28"/>
          <w:szCs w:val="28"/>
        </w:rPr>
      </w:pPr>
    </w:p>
    <w:p w:rsidR="00525355" w:rsidRDefault="005253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A05BC1" w:rsidRPr="00CD2F2A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287BAC">
        <w:rPr>
          <w:bCs/>
          <w:sz w:val="28"/>
          <w:szCs w:val="28"/>
        </w:rPr>
        <w:t>м</w:t>
      </w:r>
      <w:r w:rsidR="00A05BC1">
        <w:rPr>
          <w:bCs/>
          <w:sz w:val="28"/>
          <w:szCs w:val="28"/>
        </w:rPr>
        <w:t>іської ради</w:t>
      </w:r>
    </w:p>
    <w:p w:rsidR="0010503A" w:rsidRDefault="0010503A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080166">
        <w:rPr>
          <w:bCs/>
          <w:sz w:val="28"/>
          <w:szCs w:val="28"/>
        </w:rPr>
        <w:t>19.12.2025</w:t>
      </w:r>
      <w:r w:rsidRPr="00884479">
        <w:rPr>
          <w:bCs/>
          <w:sz w:val="28"/>
          <w:szCs w:val="28"/>
        </w:rPr>
        <w:t xml:space="preserve"> № </w:t>
      </w:r>
      <w:r w:rsidR="00080166">
        <w:rPr>
          <w:bCs/>
          <w:sz w:val="28"/>
          <w:szCs w:val="28"/>
        </w:rPr>
        <w:t>1380</w:t>
      </w:r>
    </w:p>
    <w:p w:rsidR="00080166" w:rsidRDefault="00080166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</w:p>
    <w:p w:rsidR="00080166" w:rsidRPr="00884479" w:rsidRDefault="00080166" w:rsidP="00713618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Нова редакція </w:t>
      </w:r>
    </w:p>
    <w:p w:rsidR="00080166" w:rsidRPr="00884479" w:rsidRDefault="00080166" w:rsidP="00080166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080166" w:rsidRPr="00CD2F2A" w:rsidRDefault="00080166" w:rsidP="00080166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>
        <w:rPr>
          <w:bCs/>
          <w:sz w:val="28"/>
          <w:szCs w:val="28"/>
        </w:rPr>
        <w:t>міської ради</w:t>
      </w:r>
    </w:p>
    <w:p w:rsidR="0010503A" w:rsidRDefault="00080166" w:rsidP="00913E30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913E30">
        <w:rPr>
          <w:bCs/>
          <w:sz w:val="28"/>
          <w:szCs w:val="28"/>
        </w:rPr>
        <w:t>24.04.2025</w:t>
      </w:r>
      <w:r w:rsidRPr="00884479">
        <w:rPr>
          <w:bCs/>
          <w:sz w:val="28"/>
          <w:szCs w:val="28"/>
        </w:rPr>
        <w:t xml:space="preserve"> № </w:t>
      </w:r>
      <w:r w:rsidR="00913E30">
        <w:rPr>
          <w:bCs/>
          <w:sz w:val="28"/>
          <w:szCs w:val="28"/>
        </w:rPr>
        <w:t>1472</w:t>
      </w:r>
    </w:p>
    <w:p w:rsidR="00913E30" w:rsidRPr="00884479" w:rsidRDefault="00913E30" w:rsidP="00913E30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825D6D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>міської цільової Програми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015DBA">
          <w:footerReference w:type="even" r:id="rId9"/>
          <w:footerReference w:type="default" r:id="rId10"/>
          <w:pgSz w:w="11906" w:h="16838"/>
          <w:pgMar w:top="0" w:right="746" w:bottom="0" w:left="156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080166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Програма 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>приватизації  та управління комунальним майном на 20</w:t>
            </w:r>
            <w:r w:rsidR="00287311" w:rsidRPr="00080166">
              <w:rPr>
                <w:rStyle w:val="FontStyle15"/>
                <w:sz w:val="27"/>
                <w:szCs w:val="27"/>
                <w:lang w:val="ru-RU" w:eastAsia="uk-UA"/>
              </w:rPr>
              <w:t>2</w:t>
            </w:r>
            <w:r w:rsidR="005367C4" w:rsidRPr="00080166">
              <w:rPr>
                <w:rStyle w:val="FontStyle15"/>
                <w:sz w:val="27"/>
                <w:szCs w:val="27"/>
                <w:lang w:val="ru-RU" w:eastAsia="uk-UA"/>
              </w:rPr>
              <w:t>5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>-202</w:t>
            </w:r>
            <w:r w:rsidR="00F04C3D" w:rsidRPr="00080166">
              <w:rPr>
                <w:rStyle w:val="FontStyle15"/>
                <w:sz w:val="27"/>
                <w:szCs w:val="27"/>
                <w:lang w:val="ru-RU" w:eastAsia="uk-UA"/>
              </w:rPr>
              <w:t>7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 xml:space="preserve"> рок</w:t>
            </w:r>
            <w:r w:rsidR="00816176" w:rsidRPr="00080166">
              <w:rPr>
                <w:rStyle w:val="FontStyle15"/>
                <w:sz w:val="27"/>
                <w:szCs w:val="27"/>
                <w:lang w:eastAsia="uk-UA"/>
              </w:rPr>
              <w:t>и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080166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</w:t>
            </w:r>
            <w:r w:rsidR="005367C4" w:rsidRPr="00080166">
              <w:rPr>
                <w:rFonts w:ascii="Times New Roman" w:hAnsi="Times New Roman"/>
                <w:bCs/>
                <w:sz w:val="27"/>
                <w:szCs w:val="27"/>
              </w:rPr>
              <w:t>житлово-комунального господарства та екології Звягельської міської ради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3.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4.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Співрозробники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5.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  <w:p w:rsidR="0030247F" w:rsidRPr="00080166" w:rsidRDefault="0030247F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30247F" w:rsidRPr="00080166" w:rsidRDefault="0030247F" w:rsidP="00080166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Комунальні підприємства Звягельської міської ради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7.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2025-202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р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оки (до 31.12.2027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)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8.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080166" w:rsidRDefault="005367C4" w:rsidP="001A10FC">
            <w:pPr>
              <w:pStyle w:val="a5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Загальний обсяг фінансування,  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кошти бюджету Звягельської міської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080166" w:rsidRDefault="003D26E7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1 420 000</w:t>
            </w:r>
            <w:r w:rsidR="005367C4"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1A10FC">
        <w:rPr>
          <w:rStyle w:val="FontStyle19"/>
          <w:bCs/>
          <w:sz w:val="28"/>
          <w:szCs w:val="28"/>
          <w:lang w:eastAsia="uk-UA"/>
        </w:rPr>
        <w:lastRenderedPageBreak/>
        <w:t xml:space="preserve">2. </w:t>
      </w:r>
      <w:r w:rsidR="001A10FC" w:rsidRPr="001A10FC">
        <w:rPr>
          <w:rStyle w:val="FontStyle19"/>
          <w:bCs/>
          <w:sz w:val="28"/>
          <w:szCs w:val="28"/>
          <w:lang w:eastAsia="uk-UA"/>
        </w:rPr>
        <w:t>Визначення</w:t>
      </w:r>
      <w:r w:rsidRPr="001A10FC">
        <w:rPr>
          <w:bCs/>
          <w:sz w:val="28"/>
          <w:szCs w:val="28"/>
        </w:rPr>
        <w:t xml:space="preserve"> </w:t>
      </w:r>
      <w:r w:rsidRPr="001A10FC">
        <w:rPr>
          <w:b/>
          <w:bCs/>
          <w:sz w:val="28"/>
          <w:szCs w:val="28"/>
        </w:rPr>
        <w:t>проблем</w:t>
      </w:r>
      <w:r w:rsidR="001A10FC" w:rsidRPr="001A10FC">
        <w:rPr>
          <w:b/>
          <w:bCs/>
          <w:sz w:val="28"/>
          <w:szCs w:val="28"/>
        </w:rPr>
        <w:t>и</w:t>
      </w:r>
      <w:r w:rsidRPr="005F67C9">
        <w:rPr>
          <w:b/>
          <w:bCs/>
          <w:sz w:val="28"/>
          <w:szCs w:val="28"/>
        </w:rPr>
        <w:t xml:space="preserve"> на розв’язання якої спрямована Програма</w:t>
      </w: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>нежитлових приміщень,</w:t>
      </w:r>
      <w:r w:rsidR="0030247F"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>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>у власності Звягельської міської територіальної громади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Pr="001A10FC" w:rsidRDefault="0010503A" w:rsidP="009F3331">
      <w:pPr>
        <w:ind w:firstLine="426"/>
        <w:jc w:val="both"/>
        <w:rPr>
          <w:rStyle w:val="FontStyle18"/>
          <w:color w:val="000000" w:themeColor="text1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30247F">
        <w:rPr>
          <w:bCs/>
          <w:sz w:val="28"/>
          <w:szCs w:val="28"/>
        </w:rPr>
        <w:t xml:space="preserve"> </w:t>
      </w:r>
      <w:r w:rsidR="0030247F" w:rsidRPr="00B01F54">
        <w:rPr>
          <w:bCs/>
          <w:sz w:val="28"/>
          <w:szCs w:val="28"/>
        </w:rPr>
        <w:t xml:space="preserve">та </w:t>
      </w:r>
      <w:r w:rsidR="0030247F" w:rsidRPr="001A10FC">
        <w:rPr>
          <w:bCs/>
          <w:color w:val="000000" w:themeColor="text1"/>
          <w:sz w:val="28"/>
          <w:szCs w:val="28"/>
        </w:rPr>
        <w:t>комунальних підприємств Звягельської міської ради</w:t>
      </w:r>
      <w:r w:rsidR="00B113AD" w:rsidRPr="001A10FC">
        <w:rPr>
          <w:rStyle w:val="FontStyle18"/>
          <w:color w:val="000000" w:themeColor="text1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B01F54" w:rsidRDefault="00B01F54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EE175E" w:rsidRPr="00F5250B" w:rsidRDefault="00EE175E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</w:t>
      </w:r>
      <w:r w:rsidR="001A10FC">
        <w:rPr>
          <w:sz w:val="28"/>
          <w:szCs w:val="28"/>
        </w:rPr>
        <w:t>є ефективне управління комунальним майном, утримання в належному стані об’єктів комунальної власності, з</w:t>
      </w:r>
      <w:r w:rsidRPr="00732EC3">
        <w:rPr>
          <w:sz w:val="28"/>
          <w:szCs w:val="28"/>
        </w:rPr>
        <w:t xml:space="preserve">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732EC3">
        <w:rPr>
          <w:sz w:val="28"/>
          <w:szCs w:val="28"/>
        </w:rPr>
        <w:t>, пов’язаних із здійсненням повноважень, визначених його положенням</w:t>
      </w:r>
      <w:r w:rsidR="00F078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>Реалізація запланованих заходів відповідно до Програми, що  забезпечить</w:t>
      </w:r>
      <w:r w:rsidR="007F5E21">
        <w:rPr>
          <w:sz w:val="28"/>
          <w:szCs w:val="28"/>
        </w:rPr>
        <w:t xml:space="preserve"> </w:t>
      </w:r>
      <w:r w:rsidR="007F5E21" w:rsidRPr="00732EC3">
        <w:rPr>
          <w:sz w:val="28"/>
          <w:szCs w:val="28"/>
        </w:rPr>
        <w:t>збільшення дохідної частини місцевого бюджету за  рахунок коштів в</w:t>
      </w:r>
      <w:r w:rsidR="007F5E21">
        <w:rPr>
          <w:sz w:val="28"/>
          <w:szCs w:val="28"/>
        </w:rPr>
        <w:t xml:space="preserve">ід  приватизації (відчуження), </w:t>
      </w:r>
      <w:r w:rsidR="007F5E21" w:rsidRPr="00732EC3">
        <w:rPr>
          <w:sz w:val="28"/>
          <w:szCs w:val="28"/>
        </w:rPr>
        <w:t>оренди майна</w:t>
      </w:r>
      <w:r w:rsidR="007F5E21">
        <w:rPr>
          <w:sz w:val="28"/>
          <w:szCs w:val="28"/>
        </w:rPr>
        <w:t xml:space="preserve"> комунальної власності та  </w:t>
      </w:r>
      <w:r>
        <w:rPr>
          <w:sz w:val="28"/>
          <w:szCs w:val="28"/>
        </w:rPr>
        <w:t>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Обґрунтування </w:t>
      </w:r>
      <w:r w:rsidR="007F5E21">
        <w:rPr>
          <w:b/>
          <w:bCs/>
          <w:sz w:val="28"/>
          <w:szCs w:val="28"/>
        </w:rPr>
        <w:t>завдань</w:t>
      </w:r>
      <w:r w:rsidRPr="00E37857">
        <w:rPr>
          <w:b/>
          <w:bCs/>
          <w:sz w:val="28"/>
          <w:szCs w:val="28"/>
        </w:rPr>
        <w:t xml:space="preserve"> і засобів розв’язання проблеми, </w:t>
      </w:r>
      <w:r w:rsidR="00EE0114">
        <w:rPr>
          <w:b/>
          <w:bCs/>
          <w:sz w:val="28"/>
          <w:szCs w:val="28"/>
        </w:rPr>
        <w:t>показників результативності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EE011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EE0114" w:rsidRPr="00B54A0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EE0114" w:rsidRPr="00E83135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EE0114" w:rsidRPr="001B490F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 xml:space="preserve">яйного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 </w:t>
      </w:r>
      <w:r w:rsidRPr="00B54A04">
        <w:rPr>
          <w:sz w:val="28"/>
          <w:szCs w:val="28"/>
        </w:rPr>
        <w:t>нерухомого майна</w:t>
      </w:r>
      <w:r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комунальній власність;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Інші заходи з управління майном: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забезпечення належного утримання,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 xml:space="preserve">. сплати комунальних послуг та енергоносіїв, охорони об’єктів   комунальної  власності громади. 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придбання обладнання і предметів довгострокового користування;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проведення капітального та поточного ремонту, поліпшення об’єктів комунальної власності Звягельської міської територіальної громади;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публікація оголошень  та інформацій в ЗМІ щодо діяльності у</w:t>
      </w:r>
      <w:r w:rsidRPr="00EE0114">
        <w:rPr>
          <w:bCs/>
          <w:color w:val="000000" w:themeColor="text1"/>
          <w:sz w:val="28"/>
          <w:szCs w:val="28"/>
        </w:rPr>
        <w:t>правління житлово-комунального господарства та екології Звягельської міської ради</w:t>
      </w:r>
      <w:r w:rsidRPr="00EE0114">
        <w:rPr>
          <w:color w:val="000000" w:themeColor="text1"/>
          <w:sz w:val="28"/>
          <w:szCs w:val="28"/>
        </w:rPr>
        <w:t xml:space="preserve">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>. в сфері регуляторної політики;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оплата інших послуг.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Очікувані результативні показники  Програми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.3. Залучення  більшої кількості потенційних орендарів, покупців, створення нових робочих місць.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0114" w:rsidRPr="00763C35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EE0114" w:rsidTr="00652388">
        <w:tc>
          <w:tcPr>
            <w:tcW w:w="453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надходження</w:t>
            </w:r>
          </w:p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114" w:rsidRPr="00592A39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приватизації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оренди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EE0114" w:rsidTr="00652388">
        <w:tc>
          <w:tcPr>
            <w:tcW w:w="4531" w:type="dxa"/>
          </w:tcPr>
          <w:p w:rsidR="00EE0114" w:rsidRDefault="00467340" w:rsidP="0046734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МТГ</w:t>
            </w:r>
            <w:r w:rsidR="00EE0114">
              <w:rPr>
                <w:sz w:val="28"/>
                <w:szCs w:val="28"/>
              </w:rPr>
              <w:t>, тис. грн.</w:t>
            </w:r>
          </w:p>
        </w:tc>
        <w:tc>
          <w:tcPr>
            <w:tcW w:w="1701" w:type="dxa"/>
          </w:tcPr>
          <w:p w:rsidR="00EE0114" w:rsidRDefault="00EE0114" w:rsidP="0046734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6734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467340" w:rsidP="003B11E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Обсяги та джерела фінансування</w:t>
      </w:r>
    </w:p>
    <w:p w:rsidR="00EE0114" w:rsidRPr="00E37857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Pr="002C0B1E" w:rsidRDefault="00467340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0503A">
        <w:rPr>
          <w:bCs/>
          <w:sz w:val="28"/>
          <w:szCs w:val="28"/>
        </w:rPr>
        <w:t xml:space="preserve">.1. </w:t>
      </w:r>
      <w:r w:rsidR="0010503A"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="0010503A"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="0010503A"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="0010503A"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="0010503A" w:rsidRPr="002C0B1E">
        <w:rPr>
          <w:sz w:val="28"/>
          <w:szCs w:val="28"/>
        </w:rPr>
        <w:t>рограми: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</w:t>
      </w:r>
      <w:r w:rsidR="0030247F">
        <w:rPr>
          <w:spacing w:val="6"/>
          <w:sz w:val="28"/>
        </w:rPr>
        <w:t xml:space="preserve"> </w:t>
      </w:r>
      <w:r w:rsidRPr="00607EEE">
        <w:rPr>
          <w:spacing w:val="6"/>
          <w:sz w:val="28"/>
        </w:rPr>
        <w:t>приватизаційною підготовкою та приватизацією об’єктів;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</w:t>
      </w:r>
      <w:r w:rsidR="00467340">
        <w:rPr>
          <w:color w:val="000000" w:themeColor="text1"/>
          <w:spacing w:val="6"/>
          <w:sz w:val="28"/>
        </w:rPr>
        <w:t>оплата комунальних послуг та енергоносіїв</w:t>
      </w:r>
      <w:r w:rsidRPr="00467340">
        <w:rPr>
          <w:color w:val="000000" w:themeColor="text1"/>
          <w:spacing w:val="6"/>
          <w:sz w:val="28"/>
        </w:rPr>
        <w:t xml:space="preserve">; 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податку на додану вартість з орендної плати об’єктів нерухомості</w:t>
      </w:r>
      <w:r w:rsidR="00467340">
        <w:rPr>
          <w:spacing w:val="6"/>
          <w:sz w:val="28"/>
        </w:rPr>
        <w:t>,</w:t>
      </w:r>
      <w:r w:rsidRPr="00607EEE">
        <w:rPr>
          <w:spacing w:val="6"/>
          <w:sz w:val="28"/>
        </w:rPr>
        <w:t xml:space="preserve">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 xml:space="preserve">а землю </w:t>
      </w:r>
      <w:r w:rsidR="00467340">
        <w:rPr>
          <w:spacing w:val="6"/>
          <w:sz w:val="28"/>
        </w:rPr>
        <w:t>та податку на нерухоме майно відмінне від земельної ділянки.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оплата інших послуг; </w:t>
      </w:r>
    </w:p>
    <w:p w:rsidR="0010503A" w:rsidRPr="00607EEE" w:rsidRDefault="0010503A" w:rsidP="009F3331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</w:t>
      </w:r>
      <w:r w:rsidR="00467340">
        <w:rPr>
          <w:rStyle w:val="FontStyle18"/>
          <w:sz w:val="28"/>
          <w:szCs w:val="28"/>
          <w:lang w:eastAsia="uk-UA"/>
        </w:rPr>
        <w:t>4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467340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>6</w:t>
      </w:r>
      <w:r w:rsidR="0010503A">
        <w:rPr>
          <w:spacing w:val="6"/>
          <w:sz w:val="28"/>
        </w:rPr>
        <w:t xml:space="preserve">.2. Кошти </w:t>
      </w:r>
      <w:r w:rsidR="0010503A" w:rsidRPr="00607EEE">
        <w:rPr>
          <w:spacing w:val="6"/>
          <w:sz w:val="28"/>
        </w:rPr>
        <w:t>одержані</w:t>
      </w:r>
      <w:r w:rsidR="0010503A">
        <w:rPr>
          <w:spacing w:val="6"/>
          <w:sz w:val="28"/>
        </w:rPr>
        <w:t>:</w:t>
      </w:r>
    </w:p>
    <w:p w:rsidR="0010503A" w:rsidRPr="00A95CD1" w:rsidRDefault="0010503A" w:rsidP="009F3331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B01F54">
        <w:rPr>
          <w:spacing w:val="6"/>
          <w:sz w:val="28"/>
        </w:rPr>
        <w:t>ької територіальної громади;</w:t>
      </w:r>
    </w:p>
    <w:p w:rsidR="00B01F54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lastRenderedPageBreak/>
        <w:t xml:space="preserve">- </w:t>
      </w:r>
      <w:r w:rsidRPr="00607EEE">
        <w:rPr>
          <w:spacing w:val="6"/>
          <w:sz w:val="28"/>
        </w:rPr>
        <w:t>від оренди комунального майна та відшкодування орендарями плати за землю</w:t>
      </w:r>
      <w:r w:rsidR="00467340">
        <w:rPr>
          <w:spacing w:val="6"/>
          <w:sz w:val="28"/>
        </w:rPr>
        <w:t xml:space="preserve"> та податку на нерухоме майно відмінне від земельної ділянки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</w:t>
      </w:r>
      <w:r w:rsidR="00B01F54">
        <w:rPr>
          <w:spacing w:val="6"/>
          <w:sz w:val="28"/>
        </w:rPr>
        <w:t>;</w:t>
      </w:r>
    </w:p>
    <w:p w:rsidR="0010503A" w:rsidRPr="00467340" w:rsidRDefault="00467340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>- кошти б</w:t>
      </w:r>
      <w:r w:rsidR="00B01F54" w:rsidRPr="00467340">
        <w:rPr>
          <w:color w:val="000000" w:themeColor="text1"/>
          <w:spacing w:val="6"/>
          <w:sz w:val="28"/>
        </w:rPr>
        <w:t>юджету</w:t>
      </w:r>
      <w:r w:rsidRPr="00467340">
        <w:rPr>
          <w:color w:val="000000" w:themeColor="text1"/>
          <w:spacing w:val="6"/>
          <w:sz w:val="28"/>
        </w:rPr>
        <w:t xml:space="preserve"> МТГ</w:t>
      </w:r>
      <w:r w:rsidR="00B01F54" w:rsidRPr="00467340">
        <w:rPr>
          <w:color w:val="000000" w:themeColor="text1"/>
          <w:spacing w:val="6"/>
          <w:sz w:val="28"/>
        </w:rPr>
        <w:t>, інші джерела надходжень незаборонені законодавством.</w:t>
      </w:r>
      <w:r w:rsidR="0010503A" w:rsidRPr="00467340">
        <w:rPr>
          <w:color w:val="000000" w:themeColor="text1"/>
          <w:spacing w:val="6"/>
          <w:sz w:val="28"/>
        </w:rPr>
        <w:t xml:space="preserve"> </w:t>
      </w:r>
    </w:p>
    <w:p w:rsidR="00383720" w:rsidRDefault="00383720" w:rsidP="00383720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B41B62" w:rsidRDefault="00B41B62" w:rsidP="00383720">
      <w:pPr>
        <w:jc w:val="both"/>
        <w:rPr>
          <w:sz w:val="28"/>
          <w:szCs w:val="28"/>
        </w:rPr>
      </w:pPr>
    </w:p>
    <w:p w:rsidR="00383720" w:rsidRDefault="00467340" w:rsidP="00467340">
      <w:pPr>
        <w:jc w:val="center"/>
        <w:rPr>
          <w:b/>
          <w:color w:val="000000" w:themeColor="text1"/>
          <w:spacing w:val="6"/>
          <w:sz w:val="28"/>
        </w:rPr>
      </w:pPr>
      <w:r w:rsidRPr="00467340">
        <w:rPr>
          <w:b/>
          <w:color w:val="000000" w:themeColor="text1"/>
          <w:spacing w:val="6"/>
          <w:sz w:val="28"/>
        </w:rPr>
        <w:t>7. Термін реалізації Програми</w:t>
      </w:r>
    </w:p>
    <w:p w:rsidR="00467340" w:rsidRDefault="00825D6D" w:rsidP="00825D6D">
      <w:pPr>
        <w:ind w:firstLine="540"/>
        <w:jc w:val="both"/>
        <w:rPr>
          <w:color w:val="000000" w:themeColor="text1"/>
          <w:spacing w:val="6"/>
          <w:sz w:val="28"/>
        </w:rPr>
      </w:pPr>
      <w:r>
        <w:rPr>
          <w:color w:val="000000" w:themeColor="text1"/>
          <w:spacing w:val="6"/>
          <w:sz w:val="28"/>
        </w:rPr>
        <w:t>Реалізація Програми приватизації та управління комунальним майном здійснюється протягом 2025-2027 років.</w:t>
      </w:r>
    </w:p>
    <w:p w:rsidR="00825D6D" w:rsidRPr="00825D6D" w:rsidRDefault="00825D6D" w:rsidP="00467340">
      <w:pPr>
        <w:jc w:val="both"/>
        <w:rPr>
          <w:color w:val="000000" w:themeColor="text1"/>
          <w:spacing w:val="6"/>
          <w:sz w:val="28"/>
        </w:rPr>
      </w:pPr>
    </w:p>
    <w:p w:rsidR="0010503A" w:rsidRDefault="00467340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0503A"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11E0A" w:rsidRDefault="00C11E0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ради.</w:t>
      </w:r>
    </w:p>
    <w:p w:rsidR="00467340" w:rsidRDefault="00467340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</w:p>
    <w:p w:rsidR="002F1D29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EE175E" w:rsidRPr="00AD1F6F" w:rsidRDefault="00EE175E" w:rsidP="002F1D29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2F1D29" w:rsidRPr="00AD1F6F" w:rsidTr="007D20B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7D20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7D20B7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467340" w:rsidP="007D20B7">
            <w:pPr>
              <w:autoSpaceDE w:val="0"/>
              <w:autoSpaceDN w:val="0"/>
              <w:rPr>
                <w:lang w:eastAsia="uk-UA"/>
              </w:rPr>
            </w:pPr>
            <w:r>
              <w:rPr>
                <w:lang w:eastAsia="uk-UA"/>
              </w:rPr>
              <w:t>п. 4</w:t>
            </w:r>
            <w:r w:rsidR="002F1D29" w:rsidRPr="008F5B1F">
              <w:rPr>
                <w:lang w:eastAsia="uk-UA"/>
              </w:rPr>
              <w:t>.1- п.</w:t>
            </w:r>
            <w:r>
              <w:rPr>
                <w:lang w:eastAsia="uk-UA"/>
              </w:rPr>
              <w:t>4</w:t>
            </w:r>
            <w:r w:rsidR="002F1D29" w:rsidRPr="008F5B1F">
              <w:rPr>
                <w:lang w:eastAsia="uk-UA"/>
              </w:rPr>
              <w:t>.4.</w:t>
            </w:r>
          </w:p>
          <w:p w:rsidR="002F1D29" w:rsidRDefault="002F1D29" w:rsidP="007D20B7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 w:rsidR="007D20B7">
              <w:rPr>
                <w:lang w:eastAsia="uk-UA"/>
              </w:rPr>
              <w:t xml:space="preserve"> в </w:t>
            </w:r>
            <w:proofErr w:type="spellStart"/>
            <w:r w:rsidR="007D20B7">
              <w:rPr>
                <w:lang w:eastAsia="uk-UA"/>
              </w:rPr>
              <w:t>т.ч</w:t>
            </w:r>
            <w:proofErr w:type="spellEnd"/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</w:t>
            </w:r>
            <w:r w:rsidR="00B01F54">
              <w:rPr>
                <w:lang w:eastAsia="uk-UA"/>
              </w:rPr>
              <w:t>д оренди комунального майна- 5%.</w:t>
            </w:r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кошти бюджету міської територіальної громади</w:t>
            </w:r>
            <w:r w:rsidR="00B01F54">
              <w:rPr>
                <w:lang w:eastAsia="uk-UA"/>
              </w:rPr>
              <w:t xml:space="preserve"> в </w:t>
            </w:r>
            <w:proofErr w:type="spellStart"/>
            <w:r w:rsidR="00B01F54">
              <w:rPr>
                <w:lang w:eastAsia="uk-UA"/>
              </w:rPr>
              <w:t>т.ч</w:t>
            </w:r>
            <w:proofErr w:type="spellEnd"/>
            <w:r w:rsidR="00B01F54">
              <w:rPr>
                <w:lang w:eastAsia="uk-UA"/>
              </w:rPr>
              <w:t>.</w:t>
            </w:r>
          </w:p>
          <w:p w:rsidR="00B01F54" w:rsidRPr="008F5B1F" w:rsidRDefault="00B01F54" w:rsidP="00467340">
            <w:pPr>
              <w:pStyle w:val="a3"/>
              <w:autoSpaceDE w:val="0"/>
              <w:autoSpaceDN w:val="0"/>
              <w:adjustRightInd w:val="0"/>
              <w:ind w:left="56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</w:t>
            </w:r>
            <w:r w:rsidR="004712DD">
              <w:rPr>
                <w:lang w:eastAsia="uk-UA"/>
              </w:rPr>
              <w:t>ефективності використання нежитлових приміщень через сплату</w:t>
            </w:r>
            <w:r w:rsidR="00467340">
              <w:rPr>
                <w:lang w:eastAsia="uk-UA"/>
              </w:rPr>
              <w:t xml:space="preserve"> комунальних </w:t>
            </w:r>
            <w:r w:rsidR="004712DD">
              <w:rPr>
                <w:lang w:eastAsia="uk-UA"/>
              </w:rPr>
              <w:t xml:space="preserve"> послуг</w:t>
            </w:r>
            <w:r w:rsidR="00467340">
              <w:rPr>
                <w:lang w:eastAsia="uk-UA"/>
              </w:rPr>
              <w:t xml:space="preserve"> та енергоносіїв.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B01F54" w:rsidP="007D20B7">
            <w:pPr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220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467340" w:rsidP="009247DF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250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C11E0A" w:rsidP="009247DF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 xml:space="preserve">  </w:t>
            </w:r>
            <w:r w:rsidR="009247DF"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300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9247DF" w:rsidP="007D20B7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2A1270" w:rsidRPr="002A1270" w:rsidRDefault="00287BAC" w:rsidP="00287BA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2A1270" w:rsidRPr="002A1270" w:rsidRDefault="002A1270" w:rsidP="002A1270">
      <w:pPr>
        <w:rPr>
          <w:sz w:val="28"/>
          <w:szCs w:val="28"/>
        </w:rPr>
      </w:pPr>
    </w:p>
    <w:p w:rsidR="00944C32" w:rsidRDefault="00944C32" w:rsidP="000C4FD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4C32">
        <w:rPr>
          <w:sz w:val="28"/>
          <w:szCs w:val="28"/>
        </w:rPr>
        <w:t>Додаток</w:t>
      </w:r>
    </w:p>
    <w:p w:rsidR="00AD2278" w:rsidRDefault="00944C32" w:rsidP="000C4FDD">
      <w:pPr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C4FDD">
        <w:rPr>
          <w:sz w:val="28"/>
          <w:szCs w:val="28"/>
        </w:rPr>
        <w:t xml:space="preserve"> Програми</w:t>
      </w:r>
    </w:p>
    <w:p w:rsidR="00AD2278" w:rsidRDefault="00AD2278" w:rsidP="00466D1C">
      <w:pPr>
        <w:jc w:val="center"/>
        <w:rPr>
          <w:b/>
          <w:sz w:val="28"/>
          <w:szCs w:val="28"/>
        </w:rPr>
      </w:pPr>
    </w:p>
    <w:p w:rsidR="00466D1C" w:rsidRPr="00B35AFD" w:rsidRDefault="00466D1C" w:rsidP="00466D1C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466D1C" w:rsidRPr="007F3EDB" w:rsidRDefault="00466D1C" w:rsidP="00466D1C">
      <w:pPr>
        <w:jc w:val="center"/>
        <w:rPr>
          <w:b/>
          <w:sz w:val="22"/>
          <w:szCs w:val="22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97"/>
        <w:gridCol w:w="283"/>
        <w:gridCol w:w="1134"/>
        <w:gridCol w:w="36"/>
        <w:gridCol w:w="1240"/>
        <w:gridCol w:w="1082"/>
        <w:gridCol w:w="1157"/>
        <w:gridCol w:w="880"/>
      </w:tblGrid>
      <w:tr w:rsidR="00466D1C" w:rsidRPr="002C4381" w:rsidTr="00367E31">
        <w:trPr>
          <w:trHeight w:val="244"/>
        </w:trPr>
        <w:tc>
          <w:tcPr>
            <w:tcW w:w="496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66D1C" w:rsidRPr="00AC5F99" w:rsidRDefault="00466D1C" w:rsidP="00014E95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57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 w:rsidR="0050258A"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466D1C" w:rsidRPr="002C4381" w:rsidTr="00367E31">
        <w:trPr>
          <w:trHeight w:val="172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66D1C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 w:rsidR="0050258A">
              <w:rPr>
                <w:b/>
                <w:i/>
                <w:sz w:val="22"/>
                <w:szCs w:val="22"/>
              </w:rPr>
              <w:t>за</w:t>
            </w:r>
            <w:r>
              <w:rPr>
                <w:b/>
                <w:i/>
                <w:sz w:val="22"/>
                <w:szCs w:val="22"/>
              </w:rPr>
              <w:t>трат</w:t>
            </w:r>
          </w:p>
        </w:tc>
      </w:tr>
      <w:tr w:rsidR="00FF22BE" w:rsidRPr="002C4381" w:rsidTr="00367E31">
        <w:trPr>
          <w:trHeight w:val="316"/>
        </w:trPr>
        <w:tc>
          <w:tcPr>
            <w:tcW w:w="496" w:type="dxa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F22BE" w:rsidRPr="002C4381" w:rsidRDefault="009247DF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</w:t>
            </w:r>
            <w:r w:rsidR="00FF22BE"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082" w:type="dxa"/>
            <w:shd w:val="clear" w:color="auto" w:fill="auto"/>
          </w:tcPr>
          <w:p w:rsidR="00FF22BE" w:rsidRPr="00F85EEF" w:rsidRDefault="004B328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157" w:type="dxa"/>
            <w:shd w:val="clear" w:color="auto" w:fill="auto"/>
          </w:tcPr>
          <w:p w:rsidR="00C11E0A" w:rsidRPr="00F85EEF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80" w:type="dxa"/>
            <w:shd w:val="clear" w:color="auto" w:fill="auto"/>
          </w:tcPr>
          <w:p w:rsidR="00FF22BE" w:rsidRPr="0087586B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466D1C" w:rsidRPr="002C438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6D1C" w:rsidRPr="002C4381" w:rsidTr="00367E31">
        <w:trPr>
          <w:trHeight w:val="733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6D1C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5F5A20" w:rsidRDefault="00466D1C" w:rsidP="00014E95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Default="00BE72E5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</w:t>
            </w:r>
            <w:r w:rsidR="0051669B">
              <w:rPr>
                <w:sz w:val="22"/>
                <w:szCs w:val="22"/>
              </w:rPr>
              <w:t xml:space="preserve"> на одне нежитлове приміщення на яке готується технічна документація для здачі в оренду</w:t>
            </w:r>
          </w:p>
        </w:tc>
        <w:tc>
          <w:tcPr>
            <w:tcW w:w="1082" w:type="dxa"/>
            <w:shd w:val="clear" w:color="auto" w:fill="auto"/>
          </w:tcPr>
          <w:p w:rsidR="00466D1C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57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0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Pr="002C4381" w:rsidRDefault="0051669B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до продажу</w:t>
            </w:r>
          </w:p>
        </w:tc>
        <w:tc>
          <w:tcPr>
            <w:tcW w:w="1082" w:type="dxa"/>
            <w:shd w:val="clear" w:color="auto" w:fill="auto"/>
          </w:tcPr>
          <w:p w:rsidR="00466D1C" w:rsidRPr="00AA1C94" w:rsidRDefault="00AF6AA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7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0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67E31" w:rsidRPr="002C4381" w:rsidTr="00367E31">
        <w:trPr>
          <w:trHeight w:val="215"/>
        </w:trPr>
        <w:tc>
          <w:tcPr>
            <w:tcW w:w="496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367E31" w:rsidRDefault="00367E31" w:rsidP="00014E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712D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712DD" w:rsidRPr="002C4381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4712DD" w:rsidRPr="002C4381" w:rsidTr="00367E31">
        <w:trPr>
          <w:trHeight w:val="790"/>
        </w:trPr>
        <w:tc>
          <w:tcPr>
            <w:tcW w:w="496" w:type="dxa"/>
            <w:shd w:val="clear" w:color="auto" w:fill="auto"/>
          </w:tcPr>
          <w:p w:rsidR="004712DD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712DD" w:rsidRPr="002C4381" w:rsidRDefault="004712D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>
              <w:rPr>
                <w:lang w:eastAsia="uk-UA"/>
              </w:rPr>
              <w:t>ефективності використання нежитлових приміщень через сплату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712DD" w:rsidRDefault="004712D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тис.грн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14E95">
              <w:rPr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16F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8106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18106D" w:rsidRPr="002C4381" w:rsidTr="00367E31">
        <w:trPr>
          <w:trHeight w:val="73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нежитлових приміщень за які планується проводити видатки на оплату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4E95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7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  <w:tc>
          <w:tcPr>
            <w:tcW w:w="880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014E95" w:rsidRPr="002C4381" w:rsidTr="00367E31">
        <w:trPr>
          <w:trHeight w:val="517"/>
        </w:trPr>
        <w:tc>
          <w:tcPr>
            <w:tcW w:w="496" w:type="dxa"/>
            <w:shd w:val="clear" w:color="auto" w:fill="auto"/>
          </w:tcPr>
          <w:p w:rsidR="00014E95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014E95" w:rsidRPr="00014E95" w:rsidRDefault="00014E95" w:rsidP="00014E95">
            <w:r w:rsidRPr="00014E95">
              <w:t>Середні видатки вартості послуг на одне нежитлове приміщення</w:t>
            </w:r>
          </w:p>
        </w:tc>
        <w:tc>
          <w:tcPr>
            <w:tcW w:w="1082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146</w:t>
            </w:r>
          </w:p>
        </w:tc>
        <w:tc>
          <w:tcPr>
            <w:tcW w:w="1157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45</w:t>
            </w:r>
          </w:p>
        </w:tc>
        <w:tc>
          <w:tcPr>
            <w:tcW w:w="880" w:type="dxa"/>
            <w:shd w:val="clear" w:color="auto" w:fill="auto"/>
          </w:tcPr>
          <w:p w:rsidR="00014E95" w:rsidRPr="00014E95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14E95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014E95" w:rsidRP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51669B" w:rsidRPr="002C4381" w:rsidTr="0051669B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51669B" w:rsidRPr="00014E95" w:rsidRDefault="0051669B" w:rsidP="00014E95">
            <w:r>
              <w:t>Відсоток освоєння коштів</w:t>
            </w:r>
          </w:p>
        </w:tc>
        <w:tc>
          <w:tcPr>
            <w:tcW w:w="1240" w:type="dxa"/>
            <w:shd w:val="clear" w:color="auto" w:fill="auto"/>
          </w:tcPr>
          <w:p w:rsidR="0051669B" w:rsidRPr="00014E95" w:rsidRDefault="0051669B" w:rsidP="0051669B">
            <w:r>
              <w:t>%</w:t>
            </w:r>
          </w:p>
        </w:tc>
        <w:tc>
          <w:tcPr>
            <w:tcW w:w="1082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1157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880" w:type="dxa"/>
            <w:shd w:val="clear" w:color="auto" w:fill="auto"/>
          </w:tcPr>
          <w:p w:rsidR="0051669B" w:rsidRPr="00014E95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669B" w:rsidRPr="002C4381" w:rsidTr="00136D84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51669B" w:rsidRDefault="0051669B" w:rsidP="00014E95"/>
        </w:tc>
        <w:tc>
          <w:tcPr>
            <w:tcW w:w="1082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1ED3" w:rsidRDefault="00AA1ED3" w:rsidP="002A1270">
      <w:pPr>
        <w:tabs>
          <w:tab w:val="left" w:pos="6645"/>
        </w:tabs>
        <w:rPr>
          <w:sz w:val="28"/>
          <w:szCs w:val="28"/>
        </w:rPr>
      </w:pPr>
    </w:p>
    <w:p w:rsidR="007F16FB" w:rsidRPr="002A1270" w:rsidRDefault="007F16FB" w:rsidP="007F16FB">
      <w:pPr>
        <w:tabs>
          <w:tab w:val="left" w:pos="55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sectPr w:rsidR="007F16FB" w:rsidRPr="002A1270" w:rsidSect="00EE175E">
      <w:headerReference w:type="default" r:id="rId11"/>
      <w:type w:val="continuous"/>
      <w:pgSz w:w="11906" w:h="16838"/>
      <w:pgMar w:top="426" w:right="566" w:bottom="141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65" w:rsidRDefault="00034865">
      <w:r>
        <w:separator/>
      </w:r>
    </w:p>
  </w:endnote>
  <w:endnote w:type="continuationSeparator" w:id="0">
    <w:p w:rsidR="00034865" w:rsidRDefault="000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65" w:rsidRDefault="00034865">
      <w:r>
        <w:separator/>
      </w:r>
    </w:p>
  </w:footnote>
  <w:footnote w:type="continuationSeparator" w:id="0">
    <w:p w:rsidR="00034865" w:rsidRDefault="000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367E31" w:rsidRDefault="0010503A" w:rsidP="00367E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E9"/>
    <w:multiLevelType w:val="hybridMultilevel"/>
    <w:tmpl w:val="B90EC39A"/>
    <w:lvl w:ilvl="0" w:tplc="99D6207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B3021AC"/>
    <w:multiLevelType w:val="hybridMultilevel"/>
    <w:tmpl w:val="7654D33E"/>
    <w:lvl w:ilvl="0" w:tplc="AFDAB6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4E95"/>
    <w:rsid w:val="00015DBA"/>
    <w:rsid w:val="0001763F"/>
    <w:rsid w:val="000334BB"/>
    <w:rsid w:val="00034865"/>
    <w:rsid w:val="00040B51"/>
    <w:rsid w:val="0004226B"/>
    <w:rsid w:val="00043A43"/>
    <w:rsid w:val="000448FA"/>
    <w:rsid w:val="00047E58"/>
    <w:rsid w:val="0005056E"/>
    <w:rsid w:val="00054183"/>
    <w:rsid w:val="00055DF1"/>
    <w:rsid w:val="00061400"/>
    <w:rsid w:val="00061668"/>
    <w:rsid w:val="00066F5F"/>
    <w:rsid w:val="00080166"/>
    <w:rsid w:val="00081937"/>
    <w:rsid w:val="000849B5"/>
    <w:rsid w:val="00090CAF"/>
    <w:rsid w:val="00093AC8"/>
    <w:rsid w:val="000A0423"/>
    <w:rsid w:val="000B05BD"/>
    <w:rsid w:val="000B7DAA"/>
    <w:rsid w:val="000C4FDD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569D9"/>
    <w:rsid w:val="00162BAF"/>
    <w:rsid w:val="00167EFB"/>
    <w:rsid w:val="001726E0"/>
    <w:rsid w:val="00180B8A"/>
    <w:rsid w:val="0018106D"/>
    <w:rsid w:val="00181BDD"/>
    <w:rsid w:val="0018237A"/>
    <w:rsid w:val="00184166"/>
    <w:rsid w:val="00194486"/>
    <w:rsid w:val="001A10FC"/>
    <w:rsid w:val="001A5C6F"/>
    <w:rsid w:val="001B3800"/>
    <w:rsid w:val="001B490F"/>
    <w:rsid w:val="001C3E7A"/>
    <w:rsid w:val="001C6952"/>
    <w:rsid w:val="001D115A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1933"/>
    <w:rsid w:val="00264B4F"/>
    <w:rsid w:val="002674BA"/>
    <w:rsid w:val="002712D8"/>
    <w:rsid w:val="00273ABA"/>
    <w:rsid w:val="00287311"/>
    <w:rsid w:val="00287BAC"/>
    <w:rsid w:val="00287C89"/>
    <w:rsid w:val="002A01B2"/>
    <w:rsid w:val="002A1270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247F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60931"/>
    <w:rsid w:val="00367E31"/>
    <w:rsid w:val="00374F83"/>
    <w:rsid w:val="00375BE4"/>
    <w:rsid w:val="00382E7F"/>
    <w:rsid w:val="00383720"/>
    <w:rsid w:val="00384EAA"/>
    <w:rsid w:val="00394333"/>
    <w:rsid w:val="003A4839"/>
    <w:rsid w:val="003A59FF"/>
    <w:rsid w:val="003B11E5"/>
    <w:rsid w:val="003C6524"/>
    <w:rsid w:val="003D1A24"/>
    <w:rsid w:val="003D26E7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46C53"/>
    <w:rsid w:val="00450FD8"/>
    <w:rsid w:val="00454D08"/>
    <w:rsid w:val="00466D1C"/>
    <w:rsid w:val="00467340"/>
    <w:rsid w:val="004676D7"/>
    <w:rsid w:val="00467936"/>
    <w:rsid w:val="004712DD"/>
    <w:rsid w:val="004849DC"/>
    <w:rsid w:val="00486B98"/>
    <w:rsid w:val="004A0DD2"/>
    <w:rsid w:val="004A2C31"/>
    <w:rsid w:val="004A7D17"/>
    <w:rsid w:val="004B141F"/>
    <w:rsid w:val="004B3287"/>
    <w:rsid w:val="004B377E"/>
    <w:rsid w:val="004B5485"/>
    <w:rsid w:val="004B5772"/>
    <w:rsid w:val="004B6086"/>
    <w:rsid w:val="004C2396"/>
    <w:rsid w:val="004F26D3"/>
    <w:rsid w:val="0050258A"/>
    <w:rsid w:val="005056EC"/>
    <w:rsid w:val="00505EAC"/>
    <w:rsid w:val="0051446D"/>
    <w:rsid w:val="00515229"/>
    <w:rsid w:val="0051669B"/>
    <w:rsid w:val="0052317F"/>
    <w:rsid w:val="00525355"/>
    <w:rsid w:val="00526B0A"/>
    <w:rsid w:val="00531376"/>
    <w:rsid w:val="005367C4"/>
    <w:rsid w:val="005408FE"/>
    <w:rsid w:val="00544337"/>
    <w:rsid w:val="005565C1"/>
    <w:rsid w:val="00556BF2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A60FE"/>
    <w:rsid w:val="005B0BA0"/>
    <w:rsid w:val="005B2D30"/>
    <w:rsid w:val="005B7333"/>
    <w:rsid w:val="005C12C7"/>
    <w:rsid w:val="005C18E0"/>
    <w:rsid w:val="005C25F1"/>
    <w:rsid w:val="005C71D7"/>
    <w:rsid w:val="005F3CB0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879F5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6E5C38"/>
    <w:rsid w:val="00702750"/>
    <w:rsid w:val="00707BDF"/>
    <w:rsid w:val="00713618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20B7"/>
    <w:rsid w:val="007D67FE"/>
    <w:rsid w:val="007E1489"/>
    <w:rsid w:val="007E348A"/>
    <w:rsid w:val="007E47FB"/>
    <w:rsid w:val="007F16FB"/>
    <w:rsid w:val="007F1EA5"/>
    <w:rsid w:val="007F5E21"/>
    <w:rsid w:val="007F6AF4"/>
    <w:rsid w:val="008024D0"/>
    <w:rsid w:val="00807C5D"/>
    <w:rsid w:val="008111DE"/>
    <w:rsid w:val="0081211C"/>
    <w:rsid w:val="00812BBC"/>
    <w:rsid w:val="00812D48"/>
    <w:rsid w:val="00816176"/>
    <w:rsid w:val="00817002"/>
    <w:rsid w:val="00817689"/>
    <w:rsid w:val="00825D6D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4DA"/>
    <w:rsid w:val="008E1644"/>
    <w:rsid w:val="00902C03"/>
    <w:rsid w:val="00903ECD"/>
    <w:rsid w:val="00905EAA"/>
    <w:rsid w:val="00913E30"/>
    <w:rsid w:val="009175C7"/>
    <w:rsid w:val="009247DF"/>
    <w:rsid w:val="00926733"/>
    <w:rsid w:val="009438D9"/>
    <w:rsid w:val="00944583"/>
    <w:rsid w:val="00944C32"/>
    <w:rsid w:val="00947040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3331"/>
    <w:rsid w:val="009F4D36"/>
    <w:rsid w:val="009F5CA4"/>
    <w:rsid w:val="00A03F95"/>
    <w:rsid w:val="00A058E0"/>
    <w:rsid w:val="00A05BC1"/>
    <w:rsid w:val="00A072FD"/>
    <w:rsid w:val="00A1143D"/>
    <w:rsid w:val="00A12893"/>
    <w:rsid w:val="00A142C3"/>
    <w:rsid w:val="00A177D2"/>
    <w:rsid w:val="00A2217A"/>
    <w:rsid w:val="00A3748B"/>
    <w:rsid w:val="00A40AB1"/>
    <w:rsid w:val="00A4692B"/>
    <w:rsid w:val="00A47822"/>
    <w:rsid w:val="00A501B8"/>
    <w:rsid w:val="00A5611E"/>
    <w:rsid w:val="00A5792E"/>
    <w:rsid w:val="00A63CA4"/>
    <w:rsid w:val="00A744F5"/>
    <w:rsid w:val="00A75736"/>
    <w:rsid w:val="00A75880"/>
    <w:rsid w:val="00A7710E"/>
    <w:rsid w:val="00A80536"/>
    <w:rsid w:val="00A8142C"/>
    <w:rsid w:val="00A87C00"/>
    <w:rsid w:val="00A9284C"/>
    <w:rsid w:val="00A95A64"/>
    <w:rsid w:val="00A95CD1"/>
    <w:rsid w:val="00AA1ED3"/>
    <w:rsid w:val="00AA5D51"/>
    <w:rsid w:val="00AB32E2"/>
    <w:rsid w:val="00AC7F54"/>
    <w:rsid w:val="00AD0534"/>
    <w:rsid w:val="00AD2278"/>
    <w:rsid w:val="00AD35C9"/>
    <w:rsid w:val="00AD7202"/>
    <w:rsid w:val="00AE19C3"/>
    <w:rsid w:val="00AE5CC6"/>
    <w:rsid w:val="00AE66D3"/>
    <w:rsid w:val="00AF2AD0"/>
    <w:rsid w:val="00AF3C2C"/>
    <w:rsid w:val="00AF6AA7"/>
    <w:rsid w:val="00B01F54"/>
    <w:rsid w:val="00B0275F"/>
    <w:rsid w:val="00B113AD"/>
    <w:rsid w:val="00B13711"/>
    <w:rsid w:val="00B34E69"/>
    <w:rsid w:val="00B352BC"/>
    <w:rsid w:val="00B3702F"/>
    <w:rsid w:val="00B41B62"/>
    <w:rsid w:val="00B42C0B"/>
    <w:rsid w:val="00B54A04"/>
    <w:rsid w:val="00B56400"/>
    <w:rsid w:val="00B65ADE"/>
    <w:rsid w:val="00B66B7E"/>
    <w:rsid w:val="00B70C11"/>
    <w:rsid w:val="00B76501"/>
    <w:rsid w:val="00B83443"/>
    <w:rsid w:val="00B87D03"/>
    <w:rsid w:val="00B959B8"/>
    <w:rsid w:val="00BB025C"/>
    <w:rsid w:val="00BB0961"/>
    <w:rsid w:val="00BB1CB8"/>
    <w:rsid w:val="00BB20B6"/>
    <w:rsid w:val="00BC2C0A"/>
    <w:rsid w:val="00BC795B"/>
    <w:rsid w:val="00BE3003"/>
    <w:rsid w:val="00BE4785"/>
    <w:rsid w:val="00BE59A3"/>
    <w:rsid w:val="00BE72E5"/>
    <w:rsid w:val="00BF78C5"/>
    <w:rsid w:val="00C03D30"/>
    <w:rsid w:val="00C10B46"/>
    <w:rsid w:val="00C11E0A"/>
    <w:rsid w:val="00C13428"/>
    <w:rsid w:val="00C15FE2"/>
    <w:rsid w:val="00C161B0"/>
    <w:rsid w:val="00C173D5"/>
    <w:rsid w:val="00C22281"/>
    <w:rsid w:val="00C23555"/>
    <w:rsid w:val="00C307F7"/>
    <w:rsid w:val="00C3659A"/>
    <w:rsid w:val="00C36C4B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D5122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8664C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0114"/>
    <w:rsid w:val="00EE175E"/>
    <w:rsid w:val="00EE2C38"/>
    <w:rsid w:val="00EE3FF5"/>
    <w:rsid w:val="00EE54CE"/>
    <w:rsid w:val="00EE5627"/>
    <w:rsid w:val="00EE6DE8"/>
    <w:rsid w:val="00EE6FE3"/>
    <w:rsid w:val="00EE78DA"/>
    <w:rsid w:val="00EF2CFA"/>
    <w:rsid w:val="00F04C3D"/>
    <w:rsid w:val="00F0785C"/>
    <w:rsid w:val="00F26EAD"/>
    <w:rsid w:val="00F27EBC"/>
    <w:rsid w:val="00F3243E"/>
    <w:rsid w:val="00F33202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9794D"/>
    <w:rsid w:val="00FA041D"/>
    <w:rsid w:val="00FA1491"/>
    <w:rsid w:val="00FA51B3"/>
    <w:rsid w:val="00FC3E8F"/>
    <w:rsid w:val="00FD08C1"/>
    <w:rsid w:val="00FD36D2"/>
    <w:rsid w:val="00FF22BE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9BCF0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A2E2-CAF5-4CCC-8B68-01FAFD9B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13682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24-3</cp:lastModifiedBy>
  <cp:revision>4</cp:revision>
  <cp:lastPrinted>2025-04-03T11:29:00Z</cp:lastPrinted>
  <dcterms:created xsi:type="dcterms:W3CDTF">2025-04-11T11:19:00Z</dcterms:created>
  <dcterms:modified xsi:type="dcterms:W3CDTF">2025-04-28T10:46:00Z</dcterms:modified>
</cp:coreProperties>
</file>