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8B" w:rsidRPr="00FE698B" w:rsidRDefault="00FE698B" w:rsidP="00FE698B">
      <w:pPr>
        <w:spacing w:after="0" w:line="240" w:lineRule="auto"/>
        <w:ind w:firstLine="567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698B" w:rsidRPr="00FE698B" w:rsidRDefault="00FE698B" w:rsidP="00FE698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eastAsia="ko-KR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8B" w:rsidRPr="00FE698B" w:rsidRDefault="00FE698B" w:rsidP="00FE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FE698B" w:rsidRPr="00FE698B" w:rsidRDefault="00FE698B" w:rsidP="00FE6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bookmarkStart w:id="0" w:name="_GoBack"/>
      <w:bookmarkEnd w:id="0"/>
    </w:p>
    <w:p w:rsidR="00FE698B" w:rsidRPr="00FE698B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FE6E77" w:rsidP="00FE698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33E94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істдесят п</w:t>
      </w:r>
      <w:r w:rsidR="00E33E94" w:rsidRPr="00E33E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="00E33E94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</w:t>
      </w:r>
      <w:proofErr w:type="spellEnd"/>
      <w:r w:rsidR="00E3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</w:t>
      </w:r>
      <w:r w:rsidR="00E33E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3E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3E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3E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3E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3E94" w:rsidRPr="00FE6E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</w:p>
    <w:p w:rsidR="00FE698B" w:rsidRPr="00FE698B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                             </w:t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__________</w:t>
      </w:r>
    </w:p>
    <w:p w:rsidR="00E33E94" w:rsidRDefault="00E33E94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E94" w:rsidRDefault="00E33E94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E94" w:rsidRDefault="00E33E94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Середньостроковий план </w:t>
      </w:r>
    </w:p>
    <w:p w:rsidR="00E33E94" w:rsidRDefault="00E33E94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пріоритетних публічних інвестицій</w:t>
      </w:r>
    </w:p>
    <w:p w:rsidR="00E33E94" w:rsidRDefault="00E33E94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3E9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Звягельської</w:t>
      </w:r>
      <w:proofErr w:type="spellEnd"/>
      <w:r w:rsidRPr="00E3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</w:t>
      </w:r>
    </w:p>
    <w:p w:rsidR="00E33E94" w:rsidRDefault="00E33E94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 на 2026-2028 роки</w:t>
      </w:r>
    </w:p>
    <w:p w:rsidR="00E33E94" w:rsidRDefault="00E33E94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A1D" w:rsidRDefault="00252A1D" w:rsidP="00325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підпунктом 23 частини першої статті 26, статтею 61 Закону України «Про місцеве самоврядування в Україні», статтею 75</w:t>
      </w:r>
      <w:r w:rsidR="00325BA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="0032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кодексу України зі змінами, міська рада </w:t>
      </w:r>
    </w:p>
    <w:p w:rsidR="00325BA5" w:rsidRDefault="00325BA5" w:rsidP="00325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BA5" w:rsidRDefault="00325BA5" w:rsidP="00325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325BA5" w:rsidRDefault="00325BA5" w:rsidP="00147D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Взяти </w:t>
      </w:r>
      <w:r w:rsidR="0014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14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відома </w:t>
      </w:r>
      <w:r w:rsidR="0014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Середньостроковий</w:t>
      </w:r>
      <w:r w:rsidR="0014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14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пріоритетних публічних </w:t>
      </w:r>
    </w:p>
    <w:p w:rsidR="00325BA5" w:rsidRDefault="00325BA5" w:rsidP="00147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інвестицій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 на 2026 -2028 роки, затверджений рішенням виконавчого комітету від 27.08.2025 </w:t>
      </w:r>
      <w:r w:rsidR="00FE6E7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1610 (додається).</w:t>
      </w:r>
    </w:p>
    <w:p w:rsidR="006F7615" w:rsidRDefault="006F7615" w:rsidP="006F76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постійну комісію </w:t>
      </w:r>
    </w:p>
    <w:p w:rsidR="006F7615" w:rsidRDefault="006F7615" w:rsidP="006F7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бюджету територіальної громади, комунальної власності та економічного розвитку (Сухих А.Ю), заступників міського голови Борис Н.П.,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Гудзь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Гудзя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Д.С., керуючого справами виконавчого комітету міської ради Долю О.П., секретаря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6F7615" w:rsidRDefault="006F7615" w:rsidP="006F7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615" w:rsidRDefault="006F7615" w:rsidP="006F7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615" w:rsidRDefault="006F7615" w:rsidP="006F7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615" w:rsidRPr="006F7615" w:rsidRDefault="006F7615" w:rsidP="006F7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               Микола БОРОВЕЦЬ </w:t>
      </w:r>
    </w:p>
    <w:p w:rsidR="00E33E94" w:rsidRPr="00FE698B" w:rsidRDefault="00E33E94" w:rsidP="00325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98B" w:rsidRPr="00FE698B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E698B" w:rsidRPr="00FE698B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615" w:rsidRDefault="006F7615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E77" w:rsidRDefault="00FE6E77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E77" w:rsidRDefault="00FE6E77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E77" w:rsidRPr="00FE6E77" w:rsidRDefault="00FE6E77" w:rsidP="00FE6E7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E77">
        <w:rPr>
          <w:rFonts w:ascii="Arial" w:eastAsia="Times New Roman" w:hAnsi="Arial" w:cs="Arial"/>
          <w:bCs/>
          <w:noProof/>
          <w:kern w:val="32"/>
          <w:sz w:val="28"/>
          <w:szCs w:val="28"/>
          <w:lang w:eastAsia="ko-KR"/>
        </w:rPr>
        <w:drawing>
          <wp:inline distT="0" distB="0" distL="0" distR="0" wp14:anchorId="11E6E8B1" wp14:editId="627981A0">
            <wp:extent cx="451485" cy="605790"/>
            <wp:effectExtent l="0" t="0" r="5715" b="381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E77" w:rsidRPr="00FE6E77" w:rsidRDefault="00FE6E77" w:rsidP="00FE6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E6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ВИКОНАВЧИЙ КОМІТЕТ</w:t>
      </w:r>
    </w:p>
    <w:p w:rsidR="00FE6E77" w:rsidRPr="00FE6E77" w:rsidRDefault="00FE6E77" w:rsidP="00FE6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ЗВЯГЕЛЬСЬКОЇ МІСЬКОЇ РАДИ</w:t>
      </w:r>
    </w:p>
    <w:p w:rsidR="00FE6E77" w:rsidRPr="00FE6E77" w:rsidRDefault="00FE6E77" w:rsidP="00FE6E77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РІШЕННЯ</w:t>
      </w:r>
    </w:p>
    <w:p w:rsidR="00FE6E77" w:rsidRDefault="00FE6E77" w:rsidP="00FE6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6E77" w:rsidRPr="00FE6E77" w:rsidRDefault="00FE6E77" w:rsidP="00FE6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27.08.2025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№ 1610</w:t>
      </w:r>
      <w:r w:rsidRPr="00FE6E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</w:t>
      </w:r>
    </w:p>
    <w:p w:rsidR="00FE6E77" w:rsidRPr="00FE6E77" w:rsidRDefault="00FE6E77" w:rsidP="00FE6E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E77" w:rsidRPr="00FE6E77" w:rsidRDefault="00FE6E77" w:rsidP="00FE6E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E77" w:rsidRPr="00FE6E77" w:rsidRDefault="00FE6E77" w:rsidP="00FE6E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    затвердження    Середньострокового</w:t>
      </w:r>
    </w:p>
    <w:p w:rsidR="00FE6E77" w:rsidRPr="00FE6E77" w:rsidRDefault="00FE6E77" w:rsidP="00FE6E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плану  пріоритетних   публічних інвестицій </w:t>
      </w:r>
    </w:p>
    <w:p w:rsidR="00FE6E77" w:rsidRPr="00FE6E77" w:rsidRDefault="00FE6E77" w:rsidP="00FE6E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E6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Звягельської</w:t>
      </w:r>
      <w:proofErr w:type="spellEnd"/>
      <w:r w:rsidRPr="00FE6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міської територіальної громади </w:t>
      </w:r>
    </w:p>
    <w:p w:rsidR="00FE6E77" w:rsidRPr="00FE6E77" w:rsidRDefault="00FE6E77" w:rsidP="00FE6E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2026-2028 роки</w:t>
      </w:r>
    </w:p>
    <w:p w:rsidR="00FE6E77" w:rsidRPr="00FE6E77" w:rsidRDefault="00FE6E77" w:rsidP="00FE6E7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FE6E77" w:rsidRPr="00FE6E77" w:rsidRDefault="00FE6E77" w:rsidP="00FE6E7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6E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Керуючись </w:t>
      </w:r>
      <w:r w:rsidRPr="00FE6E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статтями 40, 52 </w:t>
      </w:r>
      <w:r w:rsidRPr="00FE6E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Законом України «Про місцеве самоврядування в Україні», Бюджетним кодексом України, постановами Кабінету Міністрів України від 28 лютого 2025 року № 294 «Про затвердження Порядку розроблення та моніторингу реалізації середньострокового плану пріоритетних публічних інвестицій держави», № 232 «Деякі питання розподілу публічних інвестицій» та № 527 «Про реалізацію публічних інвестиційних </w:t>
      </w:r>
      <w:proofErr w:type="spellStart"/>
      <w:r w:rsidRPr="00FE6E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проєктів</w:t>
      </w:r>
      <w:proofErr w:type="spellEnd"/>
      <w:r w:rsidRPr="00FE6E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», відповідно до листа Міністерства економіки, довкілля та сільського господарства України від 25.07.2025 № 3502-05/50224-06 щодо планування, підготовки та реалізації публічних інвестиційних </w:t>
      </w:r>
      <w:proofErr w:type="spellStart"/>
      <w:r w:rsidRPr="00FE6E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проєктів</w:t>
      </w:r>
      <w:proofErr w:type="spellEnd"/>
      <w:r w:rsidRPr="00FE6E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і програм, </w:t>
      </w:r>
      <w:r w:rsidRPr="00FE6E7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рішення виконавчого комітету </w:t>
      </w:r>
      <w:proofErr w:type="spellStart"/>
      <w:r w:rsidRPr="00FE6E7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Звягельської</w:t>
      </w:r>
      <w:proofErr w:type="spellEnd"/>
      <w:r w:rsidRPr="00FE6E7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міської ради від 16.08. 2025 № 1564 «Про створення Інвестиційної ради </w:t>
      </w:r>
      <w:proofErr w:type="spellStart"/>
      <w:r w:rsidRPr="00FE6E7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Звягельської</w:t>
      </w:r>
      <w:proofErr w:type="spellEnd"/>
      <w:r w:rsidRPr="00FE6E7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міської територіальної громади» </w:t>
      </w:r>
      <w:r w:rsidRPr="00FE6E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та протоколу засідання Інвестиційної ради </w:t>
      </w:r>
      <w:proofErr w:type="spellStart"/>
      <w:r w:rsidRPr="00FE6E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Звягельської</w:t>
      </w:r>
      <w:proofErr w:type="spellEnd"/>
      <w:r w:rsidRPr="00FE6E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міської територіальної громади від 19.08.2025 №3, виконавчий комітет </w:t>
      </w:r>
      <w:proofErr w:type="spellStart"/>
      <w:r w:rsidRPr="00FE6E7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Звягельської</w:t>
      </w:r>
      <w:proofErr w:type="spellEnd"/>
      <w:r w:rsidRPr="00FE6E7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міської ради</w:t>
      </w:r>
    </w:p>
    <w:p w:rsidR="00FE6E77" w:rsidRPr="00FE6E77" w:rsidRDefault="00FE6E77" w:rsidP="00FE6E77">
      <w:pPr>
        <w:tabs>
          <w:tab w:val="left" w:pos="709"/>
          <w:tab w:val="left" w:pos="9214"/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  <w:lang w:eastAsia="ru-RU"/>
        </w:rPr>
      </w:pPr>
    </w:p>
    <w:p w:rsidR="00FE6E77" w:rsidRPr="00FE6E77" w:rsidRDefault="00FE6E77" w:rsidP="00FE6E77">
      <w:pPr>
        <w:tabs>
          <w:tab w:val="left" w:pos="709"/>
          <w:tab w:val="left" w:pos="9214"/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</w:pPr>
      <w:r w:rsidRPr="00FE6E77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 xml:space="preserve">   ВИР</w:t>
      </w:r>
      <w:r w:rsidRPr="00FE6E77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  <w:lang w:val="ru-RU" w:eastAsia="ru-RU"/>
        </w:rPr>
        <w:t>I</w:t>
      </w:r>
      <w:r w:rsidRPr="00FE6E77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  <w:lang w:eastAsia="ru-RU"/>
        </w:rPr>
        <w:t>ШИВ:</w:t>
      </w:r>
    </w:p>
    <w:p w:rsidR="00FE6E77" w:rsidRPr="00FE6E77" w:rsidRDefault="00FE6E77" w:rsidP="00FE6E77">
      <w:pPr>
        <w:tabs>
          <w:tab w:val="left" w:pos="709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E6E77">
        <w:rPr>
          <w:rFonts w:ascii="Times New Roman" w:eastAsia="Times New Roman" w:hAnsi="Times New Roman" w:cs="Times New Roman"/>
          <w:bCs/>
          <w:color w:val="000000" w:themeColor="text1"/>
          <w:sz w:val="28"/>
          <w:shd w:val="clear" w:color="auto" w:fill="FFFFFF"/>
          <w:lang w:eastAsia="ru-RU"/>
        </w:rPr>
        <w:t xml:space="preserve">     </w:t>
      </w:r>
      <w:r w:rsidRPr="00FE6E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1. Затвердити С</w:t>
      </w:r>
      <w:r w:rsidRPr="00FE6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ередньостроковий план пріоритетних публічних інвестицій </w:t>
      </w:r>
      <w:proofErr w:type="spellStart"/>
      <w:r w:rsidRPr="00FE6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Звягельської</w:t>
      </w:r>
      <w:proofErr w:type="spellEnd"/>
      <w:r w:rsidRPr="00FE6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міської територіальної громади на 2026-2028 роки (Додається). </w:t>
      </w:r>
    </w:p>
    <w:p w:rsidR="00FE6E77" w:rsidRPr="00FE6E77" w:rsidRDefault="00FE6E77" w:rsidP="00FE6E77">
      <w:pPr>
        <w:shd w:val="clear" w:color="auto" w:fill="FFFFFF"/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2. Керівникам структурних підрозділів виконавчих органів </w:t>
      </w:r>
      <w:proofErr w:type="spellStart"/>
      <w:r w:rsidRPr="00FE6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Звягельської</w:t>
      </w:r>
      <w:proofErr w:type="spellEnd"/>
      <w:r w:rsidRPr="00FE6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міської ради забезпечити виконання Середньострокового плану пріоритетних публічних інвестицій </w:t>
      </w:r>
      <w:proofErr w:type="spellStart"/>
      <w:r w:rsidRPr="00FE6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Звягельської</w:t>
      </w:r>
      <w:proofErr w:type="spellEnd"/>
      <w:r w:rsidRPr="00FE6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міської територіальної громади на 2026- 2028 роки та моніторинг з його реалізації.</w:t>
      </w:r>
    </w:p>
    <w:p w:rsidR="00FE6E77" w:rsidRPr="00FE6E77" w:rsidRDefault="00FE6E77" w:rsidP="00FE6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E6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3. </w:t>
      </w:r>
      <w:r w:rsidRPr="00FE6E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Контроль  за   виконанням   цього   рішення   покласти   на   заступників </w:t>
      </w:r>
    </w:p>
    <w:p w:rsidR="00FE6E77" w:rsidRPr="00FE6E77" w:rsidRDefault="00FE6E77" w:rsidP="00FE6E7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6E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міського голови Борис Н.П., </w:t>
      </w:r>
      <w:proofErr w:type="spellStart"/>
      <w:r w:rsidRPr="00FE6E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Гудзя</w:t>
      </w:r>
      <w:proofErr w:type="spellEnd"/>
      <w:r w:rsidRPr="00FE6E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Д.С., </w:t>
      </w:r>
      <w:proofErr w:type="spellStart"/>
      <w:r w:rsidRPr="00FE6E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Гудзь</w:t>
      </w:r>
      <w:proofErr w:type="spellEnd"/>
      <w:r w:rsidRPr="00FE6E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І.Л, керуючого справами виконавчого комітету міської ради Долю О.П.</w:t>
      </w:r>
    </w:p>
    <w:p w:rsidR="00FE6E77" w:rsidRPr="00FE6E77" w:rsidRDefault="00FE6E77" w:rsidP="00FE6E7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E6E77" w:rsidRDefault="00FE6E77" w:rsidP="00FE6E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Міський голова                                                                      Микола БОРОВЕЦЬ</w:t>
      </w:r>
      <w:r w:rsidRPr="00FE6E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</w:p>
    <w:p w:rsidR="006F7615" w:rsidRDefault="006F7615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E77" w:rsidRDefault="00FE6E77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615" w:rsidRDefault="006F7615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D83" w:rsidRPr="00147D83" w:rsidRDefault="00147D83" w:rsidP="00147D8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147D83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ЗАТВЕРДЖЕНО</w:t>
      </w:r>
    </w:p>
    <w:p w:rsidR="00147D83" w:rsidRPr="00147D83" w:rsidRDefault="00147D83" w:rsidP="00147D8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47D83">
        <w:rPr>
          <w:rFonts w:ascii="Times New Roman" w:hAnsi="Times New Roman" w:cs="Times New Roman"/>
          <w:color w:val="000000" w:themeColor="text1"/>
          <w:sz w:val="28"/>
          <w:szCs w:val="28"/>
        </w:rPr>
        <w:t>ішенням виконавчого</w:t>
      </w:r>
    </w:p>
    <w:p w:rsidR="00147D83" w:rsidRPr="00147D83" w:rsidRDefault="00147D83" w:rsidP="00147D8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комітету міської ради  </w:t>
      </w:r>
    </w:p>
    <w:p w:rsidR="00147D83" w:rsidRPr="00147D83" w:rsidRDefault="00147D83" w:rsidP="00147D8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від  27.08.2025 </w:t>
      </w:r>
      <w:r w:rsidRPr="00147D8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1610</w:t>
      </w:r>
    </w:p>
    <w:p w:rsidR="00147D83" w:rsidRPr="00147D83" w:rsidRDefault="00147D83" w:rsidP="00147D8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7D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147D83" w:rsidRPr="00147D83" w:rsidRDefault="00147D83" w:rsidP="00147D8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Середньостроковий план пріоритетних публічних інвестицій </w:t>
      </w:r>
      <w:proofErr w:type="spellStart"/>
      <w:r w:rsidRPr="00147D83">
        <w:rPr>
          <w:rFonts w:ascii="Times New Roman" w:hAnsi="Times New Roman" w:cs="Times New Roman"/>
          <w:color w:val="000000" w:themeColor="text1"/>
          <w:sz w:val="28"/>
          <w:szCs w:val="28"/>
        </w:rPr>
        <w:t>Звягельської</w:t>
      </w:r>
      <w:proofErr w:type="spellEnd"/>
      <w:r w:rsidRPr="00147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територіальної громади на 2026-2028 роки</w:t>
      </w:r>
    </w:p>
    <w:p w:rsidR="00147D83" w:rsidRPr="00147D83" w:rsidRDefault="00147D83" w:rsidP="00147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Середньостроковий план пріоритетних публічних інвестицій </w:t>
      </w:r>
      <w:proofErr w:type="spellStart"/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Звягельської</w:t>
      </w:r>
      <w:proofErr w:type="spellEnd"/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міської територіальної громади (далі  - Середньостроковий план) розроблено відповідно до Бюджетного кодексу України та Порядку розроблення і моніторингу реалізації середньострокового плану, затвердженого постановою Кабінету Міністрів України від 28 лютого 2025 року №294, Порядку розроблення та моніторингу реалізації середньострокового плану пріоритетних публічних інвестицій </w:t>
      </w:r>
      <w:proofErr w:type="spellStart"/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Звягельської</w:t>
      </w:r>
      <w:proofErr w:type="spellEnd"/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міської територіальної громади, затвердженого рішенням виконавчого комітету міської ради від 16.07.2025 №1565. </w:t>
      </w:r>
    </w:p>
    <w:p w:rsidR="00147D83" w:rsidRPr="00147D83" w:rsidRDefault="00147D83" w:rsidP="00147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Середньостроковий план </w:t>
      </w:r>
      <w:proofErr w:type="spellStart"/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Звягельської</w:t>
      </w:r>
      <w:proofErr w:type="spellEnd"/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міської територіальної громади узгоджений із Середньостроковим планом пріоритетних публічних інвестицій держави на 2026 – 2028 роки, а також із Стратегією розвитку </w:t>
      </w:r>
      <w:proofErr w:type="spellStart"/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Звягельської</w:t>
      </w:r>
      <w:proofErr w:type="spellEnd"/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міської територіальної громади на 2024 -2030 роки. </w:t>
      </w:r>
    </w:p>
    <w:p w:rsidR="00147D83" w:rsidRPr="00147D83" w:rsidRDefault="00147D83" w:rsidP="00147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Цей план спрямований на концентрацію ресурсів для реалізації ключових </w:t>
      </w:r>
      <w:proofErr w:type="spellStart"/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проєктів</w:t>
      </w:r>
      <w:proofErr w:type="spellEnd"/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соціального, інфраструктурного , екологічного  та енергетичного спрямування, а також підвищення прозорості та ефективності використання публічних коштів. </w:t>
      </w:r>
    </w:p>
    <w:p w:rsidR="00147D83" w:rsidRPr="00147D83" w:rsidRDefault="00147D83" w:rsidP="00147D83">
      <w:pPr>
        <w:widowControl w:val="0"/>
        <w:autoSpaceDE w:val="0"/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Середньостроковий</w:t>
      </w:r>
      <w:r w:rsidRPr="00147D83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</w:t>
      </w:r>
      <w:r w:rsidRPr="00147D8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147D8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визначає:</w:t>
      </w:r>
    </w:p>
    <w:p w:rsidR="00147D83" w:rsidRPr="00147D83" w:rsidRDefault="00147D83" w:rsidP="00147D83">
      <w:pPr>
        <w:widowControl w:val="0"/>
        <w:autoSpaceDE w:val="0"/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147D8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-</w:t>
      </w: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наскрізні</w:t>
      </w:r>
      <w:r w:rsidRPr="00147D8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стратегічні</w:t>
      </w:r>
      <w:r w:rsidRPr="00147D8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цілі</w:t>
      </w:r>
      <w:r w:rsidRPr="00147D8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здійснення</w:t>
      </w:r>
      <w:r w:rsidRPr="00147D8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публічних</w:t>
      </w:r>
      <w:r w:rsidRPr="00147D8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147D8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інвестицій;</w:t>
      </w:r>
    </w:p>
    <w:p w:rsidR="00147D83" w:rsidRPr="00147D83" w:rsidRDefault="00147D83" w:rsidP="00147D83">
      <w:pPr>
        <w:widowControl w:val="0"/>
        <w:autoSpaceDE w:val="0"/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147D8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-</w:t>
      </w: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пріоритетні</w:t>
      </w:r>
      <w:r w:rsidRPr="00147D8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галузі</w:t>
      </w:r>
      <w:r w:rsidRPr="00147D8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</w:t>
      </w:r>
      <w:r w:rsidRPr="00147D8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публічного</w:t>
      </w:r>
      <w:r w:rsidRPr="00147D8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147D8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інвестування;</w:t>
      </w:r>
    </w:p>
    <w:p w:rsidR="00147D83" w:rsidRPr="00147D83" w:rsidRDefault="00147D83" w:rsidP="00147D83">
      <w:pPr>
        <w:widowControl w:val="0"/>
        <w:autoSpaceDE w:val="0"/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7D8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-</w:t>
      </w: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основні напрями публічного інвестування, у тому числі за діючими </w:t>
      </w:r>
      <w:proofErr w:type="spellStart"/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проєктами</w:t>
      </w:r>
      <w:proofErr w:type="spellEnd"/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програмами, цільові показники цих напрямів в розрізі сфер державної політики, регіонів і відповідний орієнтовний розподіл коштів за рахунок різних джерел фінансування;</w:t>
      </w:r>
    </w:p>
    <w:p w:rsidR="00147D83" w:rsidRPr="00147D83" w:rsidRDefault="00147D83" w:rsidP="00147D83">
      <w:pPr>
        <w:widowControl w:val="0"/>
        <w:autoSpaceDE w:val="0"/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Сфера дії  Середньострокового плану включає публічні інвестиції для реалізації </w:t>
      </w:r>
      <w:proofErr w:type="spellStart"/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проєктів</w:t>
      </w:r>
      <w:proofErr w:type="spellEnd"/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 програм </w:t>
      </w:r>
      <w:proofErr w:type="spellStart"/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Звягельської</w:t>
      </w:r>
      <w:proofErr w:type="spellEnd"/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міської територіальної громади у 2026-2028 роках, крім компенсацій за пошкоджене/зруйноване майно та грантів для розвитку бізнесу і приватних осіб, що не є публічними інвестиціями за визначенням Бюджетного кодексу України. </w:t>
      </w:r>
    </w:p>
    <w:p w:rsidR="00147D83" w:rsidRPr="00147D83" w:rsidRDefault="00147D83" w:rsidP="00147D83">
      <w:pPr>
        <w:widowControl w:val="0"/>
        <w:autoSpaceDE w:val="0"/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47D83" w:rsidRPr="00147D83" w:rsidRDefault="00147D83" w:rsidP="00147D8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D83">
        <w:rPr>
          <w:rFonts w:ascii="Times New Roman" w:hAnsi="Times New Roman" w:cs="Times New Roman"/>
          <w:color w:val="000000" w:themeColor="text1"/>
          <w:sz w:val="28"/>
          <w:szCs w:val="28"/>
        </w:rPr>
        <w:t>Описова частина</w:t>
      </w:r>
    </w:p>
    <w:p w:rsidR="00147D83" w:rsidRPr="00147D83" w:rsidRDefault="00147D83" w:rsidP="00147D83">
      <w:pPr>
        <w:widowControl w:val="0"/>
        <w:autoSpaceDE w:val="0"/>
        <w:autoSpaceDN w:val="0"/>
        <w:spacing w:before="316" w:after="0" w:line="240" w:lineRule="auto"/>
        <w:ind w:right="15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Середньостроковий план розроблено відділом економіки міської ради на підставі пропозицій головних розпорядників бюджетних коштів міської територіальної громади, відповідно до цілей і завдань, визначених </w:t>
      </w: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документами стратегічного планування, у межах орієнтовного граничного сукупного обсягу публічних  інвестицій  на середньостроковий період, доведеного фінансовим управлінням міської ради.</w:t>
      </w:r>
    </w:p>
    <w:p w:rsidR="00147D83" w:rsidRPr="00147D83" w:rsidRDefault="00147D83" w:rsidP="00147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</w:rPr>
      </w:pPr>
      <w:r w:rsidRPr="00147D8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147D83"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  <w:r w:rsidRPr="00147D83">
        <w:rPr>
          <w:rFonts w:ascii="Times New Roman" w:eastAsia="Times New Roman" w:hAnsi="Times New Roman" w:cs="Times New Roman"/>
          <w:i/>
          <w:color w:val="000000" w:themeColor="text1"/>
          <w:sz w:val="28"/>
        </w:rPr>
        <w:t>Наскрізні</w:t>
      </w:r>
      <w:r w:rsidRPr="00147D83">
        <w:rPr>
          <w:rFonts w:ascii="Times New Roman" w:eastAsia="Times New Roman" w:hAnsi="Times New Roman" w:cs="Times New Roman"/>
          <w:i/>
          <w:color w:val="000000" w:themeColor="text1"/>
          <w:spacing w:val="-10"/>
          <w:sz w:val="28"/>
        </w:rPr>
        <w:t xml:space="preserve"> </w:t>
      </w:r>
      <w:r w:rsidRPr="00147D83">
        <w:rPr>
          <w:rFonts w:ascii="Times New Roman" w:eastAsia="Times New Roman" w:hAnsi="Times New Roman" w:cs="Times New Roman"/>
          <w:i/>
          <w:color w:val="000000" w:themeColor="text1"/>
          <w:sz w:val="28"/>
        </w:rPr>
        <w:t>стратегічні</w:t>
      </w:r>
      <w:r w:rsidRPr="00147D83">
        <w:rPr>
          <w:rFonts w:ascii="Times New Roman" w:eastAsia="Times New Roman" w:hAnsi="Times New Roman" w:cs="Times New Roman"/>
          <w:i/>
          <w:color w:val="000000" w:themeColor="text1"/>
          <w:spacing w:val="-8"/>
          <w:sz w:val="28"/>
        </w:rPr>
        <w:t xml:space="preserve"> </w:t>
      </w:r>
      <w:r w:rsidRPr="00147D83">
        <w:rPr>
          <w:rFonts w:ascii="Times New Roman" w:eastAsia="Times New Roman" w:hAnsi="Times New Roman" w:cs="Times New Roman"/>
          <w:i/>
          <w:color w:val="000000" w:themeColor="text1"/>
          <w:sz w:val="28"/>
        </w:rPr>
        <w:t>цілі</w:t>
      </w:r>
      <w:r w:rsidRPr="00147D83">
        <w:rPr>
          <w:rFonts w:ascii="Times New Roman" w:eastAsia="Times New Roman" w:hAnsi="Times New Roman" w:cs="Times New Roman"/>
          <w:i/>
          <w:color w:val="000000" w:themeColor="text1"/>
          <w:spacing w:val="-5"/>
          <w:sz w:val="28"/>
        </w:rPr>
        <w:t xml:space="preserve"> </w:t>
      </w:r>
      <w:r w:rsidRPr="00147D83">
        <w:rPr>
          <w:rFonts w:ascii="Times New Roman" w:eastAsia="Times New Roman" w:hAnsi="Times New Roman" w:cs="Times New Roman"/>
          <w:i/>
          <w:color w:val="000000" w:themeColor="text1"/>
          <w:sz w:val="28"/>
        </w:rPr>
        <w:t>здійснення</w:t>
      </w:r>
      <w:r w:rsidRPr="00147D83">
        <w:rPr>
          <w:rFonts w:ascii="Times New Roman" w:eastAsia="Times New Roman" w:hAnsi="Times New Roman" w:cs="Times New Roman"/>
          <w:i/>
          <w:color w:val="000000" w:themeColor="text1"/>
          <w:spacing w:val="-7"/>
          <w:sz w:val="28"/>
        </w:rPr>
        <w:t xml:space="preserve"> </w:t>
      </w:r>
      <w:r w:rsidRPr="00147D83">
        <w:rPr>
          <w:rFonts w:ascii="Times New Roman" w:eastAsia="Times New Roman" w:hAnsi="Times New Roman" w:cs="Times New Roman"/>
          <w:i/>
          <w:color w:val="000000" w:themeColor="text1"/>
          <w:sz w:val="28"/>
        </w:rPr>
        <w:t>публічних</w:t>
      </w:r>
      <w:r w:rsidRPr="00147D83">
        <w:rPr>
          <w:rFonts w:ascii="Times New Roman" w:eastAsia="Times New Roman" w:hAnsi="Times New Roman" w:cs="Times New Roman"/>
          <w:i/>
          <w:color w:val="000000" w:themeColor="text1"/>
          <w:spacing w:val="-6"/>
          <w:sz w:val="28"/>
        </w:rPr>
        <w:t xml:space="preserve"> </w:t>
      </w:r>
      <w:r w:rsidRPr="00147D83">
        <w:rPr>
          <w:rFonts w:ascii="Times New Roman" w:eastAsia="Times New Roman" w:hAnsi="Times New Roman" w:cs="Times New Roman"/>
          <w:i/>
          <w:color w:val="000000" w:themeColor="text1"/>
          <w:spacing w:val="-2"/>
          <w:sz w:val="28"/>
        </w:rPr>
        <w:t>інвестицій</w:t>
      </w:r>
    </w:p>
    <w:p w:rsidR="00147D83" w:rsidRPr="00147D83" w:rsidRDefault="00147D83" w:rsidP="00147D8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Наскрізними стратегічними цілями здійснення публічних інвестицій (далі – наскрізні стратегічні цілі)  є цілі, що мають міжгалузевий характер, відповідають національним або глобальним пріоритетам розвитку, для досягнення яких об’єднують зусилля органи влади та фізичні і юридичні особи, громадські об’єднання, інші суб’єкти , які можуть вплинути на процес досягнення цілей.   </w:t>
      </w:r>
    </w:p>
    <w:p w:rsidR="00147D83" w:rsidRPr="00147D83" w:rsidRDefault="00147D83" w:rsidP="00147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На 2026-2028 роки для міської територіальної громади  визначено такі наскрізні стратегічні цілі, узгоджені з державними:</w:t>
      </w:r>
    </w:p>
    <w:p w:rsidR="00147D83" w:rsidRPr="00147D83" w:rsidRDefault="00147D83" w:rsidP="00147D8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енергоефективність – впровадження сучасних технологій енергозбереження у сфері житлово-комунального господарства, освіти та медицини. </w:t>
      </w:r>
    </w:p>
    <w:p w:rsidR="00147D83" w:rsidRPr="00147D83" w:rsidRDefault="00147D83" w:rsidP="00147D8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реагування на зміни клімату – модернізація системи водопостачання та   </w:t>
      </w:r>
    </w:p>
    <w:p w:rsidR="00147D83" w:rsidRPr="00147D83" w:rsidRDefault="00147D83" w:rsidP="00147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водовідведення, впровадження відновлювальних джерел енергії.</w:t>
      </w:r>
    </w:p>
    <w:p w:rsidR="00147D83" w:rsidRPr="00147D83" w:rsidRDefault="00147D83" w:rsidP="00147D8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гендерна рівність та </w:t>
      </w:r>
      <w:proofErr w:type="spellStart"/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безбар</w:t>
      </w:r>
      <w:proofErr w:type="spellEnd"/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proofErr w:type="spellStart"/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єрність</w:t>
      </w:r>
      <w:proofErr w:type="spellEnd"/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створення безпечних, інклюзивних </w:t>
      </w:r>
    </w:p>
    <w:p w:rsidR="00147D83" w:rsidRPr="00147D83" w:rsidRDefault="00147D83" w:rsidP="00147D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47D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об’єктів</w:t>
      </w:r>
      <w:proofErr w:type="spellEnd"/>
      <w:r w:rsidRPr="00147D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47D83">
        <w:rPr>
          <w:rFonts w:ascii="Times New Roman" w:hAnsi="Times New Roman" w:cs="Times New Roman"/>
          <w:color w:val="000000" w:themeColor="text1"/>
          <w:sz w:val="28"/>
          <w:szCs w:val="28"/>
        </w:rPr>
        <w:t>інфраструктури. Доступних для усіх категорій населення.</w:t>
      </w:r>
    </w:p>
    <w:p w:rsidR="00147D83" w:rsidRPr="00147D83" w:rsidRDefault="00147D83" w:rsidP="00147D83">
      <w:pPr>
        <w:widowControl w:val="0"/>
        <w:autoSpaceDE w:val="0"/>
        <w:autoSpaceDN w:val="0"/>
        <w:spacing w:before="1" w:after="0" w:line="240" w:lineRule="auto"/>
        <w:ind w:right="156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pacing w:val="-2"/>
          <w:sz w:val="28"/>
          <w:szCs w:val="28"/>
        </w:rPr>
      </w:pPr>
      <w:r w:rsidRPr="00147D83">
        <w:rPr>
          <w:rFonts w:ascii="Times New Roman" w:eastAsia="Times New Roman" w:hAnsi="Times New Roman" w:cs="Times New Roman"/>
          <w:i/>
          <w:color w:val="000000" w:themeColor="text1"/>
          <w:spacing w:val="-2"/>
          <w:sz w:val="28"/>
          <w:szCs w:val="28"/>
        </w:rPr>
        <w:t>Пріоритетні галузі для публічного інвестування:</w:t>
      </w:r>
    </w:p>
    <w:p w:rsidR="00147D83" w:rsidRPr="00147D83" w:rsidRDefault="00147D83" w:rsidP="00147D83">
      <w:pPr>
        <w:widowControl w:val="0"/>
        <w:autoSpaceDE w:val="0"/>
        <w:autoSpaceDN w:val="0"/>
        <w:spacing w:before="1" w:after="0" w:line="240" w:lineRule="auto"/>
        <w:ind w:right="156" w:firstLine="708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proofErr w:type="spellStart"/>
      <w:r w:rsidRPr="00147D8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Звягельська</w:t>
      </w:r>
      <w:proofErr w:type="spellEnd"/>
      <w:r w:rsidRPr="00147D8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міська територіальна громада, зважаючи на Середньостроковий план пріоритетних публічних інвестицій держави, спрямовуватиме публічні інвестиції у такі галузі/напрямки:</w:t>
      </w:r>
    </w:p>
    <w:p w:rsidR="00147D83" w:rsidRPr="00147D83" w:rsidRDefault="00147D83" w:rsidP="00147D83">
      <w:pPr>
        <w:widowControl w:val="0"/>
        <w:autoSpaceDE w:val="0"/>
        <w:autoSpaceDN w:val="0"/>
        <w:spacing w:before="1" w:after="0" w:line="240" w:lineRule="auto"/>
        <w:ind w:left="1068" w:right="156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Галузь: </w:t>
      </w:r>
      <w:r w:rsidRPr="00147D8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Муніципальна інфраструктура та послуги – водопостачання </w:t>
      </w:r>
    </w:p>
    <w:p w:rsidR="00147D83" w:rsidRPr="00147D83" w:rsidRDefault="00147D83" w:rsidP="00147D83">
      <w:pPr>
        <w:widowControl w:val="0"/>
        <w:autoSpaceDE w:val="0"/>
        <w:autoSpaceDN w:val="0"/>
        <w:spacing w:before="1" w:after="0" w:line="240" w:lineRule="auto"/>
        <w:ind w:right="156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147D8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та </w:t>
      </w:r>
      <w:r w:rsidRPr="00147D8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водовідведення, енергоефективність, поводження з ТПВ.</w:t>
      </w:r>
    </w:p>
    <w:p w:rsidR="00147D83" w:rsidRPr="00147D83" w:rsidRDefault="00147D83" w:rsidP="00147D83">
      <w:pPr>
        <w:spacing w:before="1" w:after="0"/>
        <w:ind w:right="156" w:firstLine="708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147D8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    </w:t>
      </w: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Галузь: </w:t>
      </w:r>
      <w:r w:rsidRPr="00147D8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Освіта і наука</w:t>
      </w:r>
      <w:r w:rsidRPr="00147D83">
        <w:rPr>
          <w:color w:val="000000" w:themeColor="text1"/>
          <w:spacing w:val="-2"/>
          <w:sz w:val="28"/>
          <w:szCs w:val="28"/>
        </w:rPr>
        <w:t xml:space="preserve"> – </w:t>
      </w:r>
      <w:r w:rsidRPr="00147D8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модернізація шкільної  інфраструктури, забезпечення обладнанням, протипожежний захист та укриття. </w:t>
      </w:r>
    </w:p>
    <w:p w:rsidR="00147D83" w:rsidRPr="00147D83" w:rsidRDefault="00147D83" w:rsidP="00147D83">
      <w:pPr>
        <w:widowControl w:val="0"/>
        <w:autoSpaceDE w:val="0"/>
        <w:autoSpaceDN w:val="0"/>
        <w:spacing w:before="1" w:after="0" w:line="240" w:lineRule="auto"/>
        <w:ind w:left="1068" w:right="156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Галузь: </w:t>
      </w:r>
      <w:r w:rsidRPr="00147D8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Охорона </w:t>
      </w:r>
      <w:proofErr w:type="spellStart"/>
      <w:r w:rsidRPr="00147D8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здоров</w:t>
      </w:r>
      <w:proofErr w:type="spellEnd"/>
      <w:r w:rsidRPr="00147D8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’</w:t>
      </w:r>
      <w:r w:rsidRPr="00147D8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я – будівництво та модернізація медичних </w:t>
      </w:r>
    </w:p>
    <w:p w:rsidR="00147D83" w:rsidRPr="00147D83" w:rsidRDefault="00147D83" w:rsidP="00147D83">
      <w:pPr>
        <w:spacing w:before="1" w:after="0"/>
        <w:ind w:right="156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147D8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закладів.</w:t>
      </w:r>
    </w:p>
    <w:p w:rsidR="00147D83" w:rsidRPr="00147D83" w:rsidRDefault="00147D83" w:rsidP="00147D83">
      <w:pPr>
        <w:ind w:right="156"/>
        <w:jc w:val="both"/>
        <w:rPr>
          <w:color w:val="000000" w:themeColor="text1"/>
          <w:sz w:val="28"/>
          <w:szCs w:val="28"/>
        </w:rPr>
      </w:pP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Перелік галузей для публічного інвестування та основних напрямків для публічного інвестування наведено у </w:t>
      </w: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Додатку 1.</w:t>
      </w:r>
    </w:p>
    <w:p w:rsidR="00147D83" w:rsidRPr="00147D83" w:rsidRDefault="00147D83" w:rsidP="00147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</w:rPr>
      </w:pPr>
      <w:r w:rsidRPr="00147D83">
        <w:rPr>
          <w:rFonts w:ascii="Times New Roman" w:eastAsia="Times New Roman" w:hAnsi="Times New Roman" w:cs="Times New Roman"/>
          <w:i/>
          <w:color w:val="000000" w:themeColor="text1"/>
          <w:sz w:val="28"/>
        </w:rPr>
        <w:t xml:space="preserve"> </w:t>
      </w:r>
      <w:r w:rsidRPr="00147D83">
        <w:rPr>
          <w:rFonts w:ascii="Times New Roman" w:eastAsia="Times New Roman" w:hAnsi="Times New Roman" w:cs="Times New Roman"/>
          <w:i/>
          <w:color w:val="000000" w:themeColor="text1"/>
          <w:sz w:val="28"/>
        </w:rPr>
        <w:tab/>
        <w:t>Фінансова</w:t>
      </w:r>
      <w:r w:rsidRPr="00147D83">
        <w:rPr>
          <w:rFonts w:ascii="Times New Roman" w:eastAsia="Times New Roman" w:hAnsi="Times New Roman" w:cs="Times New Roman"/>
          <w:i/>
          <w:color w:val="000000" w:themeColor="text1"/>
          <w:spacing w:val="-7"/>
          <w:sz w:val="28"/>
        </w:rPr>
        <w:t xml:space="preserve"> </w:t>
      </w:r>
      <w:r w:rsidRPr="00147D83">
        <w:rPr>
          <w:rFonts w:ascii="Times New Roman" w:eastAsia="Times New Roman" w:hAnsi="Times New Roman" w:cs="Times New Roman"/>
          <w:i/>
          <w:color w:val="000000" w:themeColor="text1"/>
          <w:sz w:val="28"/>
        </w:rPr>
        <w:t>структура</w:t>
      </w:r>
      <w:r w:rsidRPr="00147D83">
        <w:rPr>
          <w:rFonts w:ascii="Times New Roman" w:eastAsia="Times New Roman" w:hAnsi="Times New Roman" w:cs="Times New Roman"/>
          <w:i/>
          <w:color w:val="000000" w:themeColor="text1"/>
          <w:spacing w:val="-10"/>
          <w:sz w:val="28"/>
        </w:rPr>
        <w:t xml:space="preserve"> </w:t>
      </w:r>
      <w:r w:rsidRPr="00147D83">
        <w:rPr>
          <w:rFonts w:ascii="Times New Roman" w:eastAsia="Times New Roman" w:hAnsi="Times New Roman" w:cs="Times New Roman"/>
          <w:i/>
          <w:color w:val="000000" w:themeColor="text1"/>
          <w:sz w:val="28"/>
        </w:rPr>
        <w:t>публічних</w:t>
      </w:r>
      <w:r w:rsidRPr="00147D83">
        <w:rPr>
          <w:rFonts w:ascii="Times New Roman" w:eastAsia="Times New Roman" w:hAnsi="Times New Roman" w:cs="Times New Roman"/>
          <w:i/>
          <w:color w:val="000000" w:themeColor="text1"/>
          <w:spacing w:val="-9"/>
          <w:sz w:val="28"/>
        </w:rPr>
        <w:t xml:space="preserve"> </w:t>
      </w:r>
      <w:r w:rsidRPr="00147D83">
        <w:rPr>
          <w:rFonts w:ascii="Times New Roman" w:eastAsia="Times New Roman" w:hAnsi="Times New Roman" w:cs="Times New Roman"/>
          <w:i/>
          <w:color w:val="000000" w:themeColor="text1"/>
          <w:spacing w:val="-2"/>
          <w:sz w:val="28"/>
        </w:rPr>
        <w:t>інвестицій</w:t>
      </w:r>
    </w:p>
    <w:p w:rsidR="00147D83" w:rsidRPr="00147D83" w:rsidRDefault="00147D83" w:rsidP="00147D83">
      <w:pPr>
        <w:widowControl w:val="0"/>
        <w:autoSpaceDE w:val="0"/>
        <w:autoSpaceDN w:val="0"/>
        <w:spacing w:before="251" w:after="0" w:line="242" w:lineRule="auto"/>
        <w:ind w:right="14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основі аналізу джерел фінансування публічних інвестиційних проектів  </w:t>
      </w:r>
      <w:proofErr w:type="spellStart"/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Звягельської</w:t>
      </w:r>
      <w:proofErr w:type="spellEnd"/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міської територіальної громади, визначено наступну структуру фінансового забезпечення на 2026-2028 роки:</w:t>
      </w:r>
    </w:p>
    <w:p w:rsidR="00147D83" w:rsidRPr="00147D83" w:rsidRDefault="00147D83" w:rsidP="00147D83">
      <w:pPr>
        <w:widowControl w:val="0"/>
        <w:autoSpaceDE w:val="0"/>
        <w:autoSpaceDN w:val="0"/>
        <w:spacing w:before="251" w:after="0" w:line="242" w:lineRule="auto"/>
        <w:ind w:right="14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284"/>
        <w:gridCol w:w="2389"/>
        <w:gridCol w:w="2126"/>
        <w:gridCol w:w="2268"/>
      </w:tblGrid>
      <w:tr w:rsidR="00147D83" w:rsidRPr="00147D83" w:rsidTr="00383557">
        <w:tc>
          <w:tcPr>
            <w:tcW w:w="2284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Джерело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фінансування</w:t>
            </w:r>
            <w:proofErr w:type="spellEnd"/>
          </w:p>
        </w:tc>
        <w:tc>
          <w:tcPr>
            <w:tcW w:w="2389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2026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126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2027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268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2028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рік</w:t>
            </w:r>
            <w:proofErr w:type="spellEnd"/>
          </w:p>
        </w:tc>
      </w:tr>
      <w:tr w:rsidR="00147D83" w:rsidRPr="00147D83" w:rsidTr="00383557">
        <w:tc>
          <w:tcPr>
            <w:tcW w:w="2284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Державний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</w:t>
            </w:r>
          </w:p>
        </w:tc>
        <w:tc>
          <w:tcPr>
            <w:tcW w:w="2389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64 916 880 </w:t>
            </w:r>
          </w:p>
        </w:tc>
        <w:tc>
          <w:tcPr>
            <w:tcW w:w="2126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76 653 000</w:t>
            </w:r>
          </w:p>
        </w:tc>
        <w:tc>
          <w:tcPr>
            <w:tcW w:w="2268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51 145 000</w:t>
            </w:r>
          </w:p>
        </w:tc>
      </w:tr>
      <w:tr w:rsidR="00147D83" w:rsidRPr="00147D83" w:rsidTr="00383557">
        <w:tc>
          <w:tcPr>
            <w:tcW w:w="2284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Місцевий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</w:t>
            </w:r>
          </w:p>
        </w:tc>
        <w:tc>
          <w:tcPr>
            <w:tcW w:w="2389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20 000 000</w:t>
            </w:r>
          </w:p>
        </w:tc>
        <w:tc>
          <w:tcPr>
            <w:tcW w:w="2126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21 420 000</w:t>
            </w:r>
          </w:p>
        </w:tc>
        <w:tc>
          <w:tcPr>
            <w:tcW w:w="2268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22 620 000</w:t>
            </w:r>
          </w:p>
        </w:tc>
      </w:tr>
      <w:tr w:rsidR="00147D83" w:rsidRPr="00147D83" w:rsidTr="00383557">
        <w:tc>
          <w:tcPr>
            <w:tcW w:w="2284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Грантові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міжнародні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кошти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89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9 091 200</w:t>
            </w:r>
          </w:p>
        </w:tc>
        <w:tc>
          <w:tcPr>
            <w:tcW w:w="2126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8 225 000</w:t>
            </w:r>
          </w:p>
        </w:tc>
        <w:tc>
          <w:tcPr>
            <w:tcW w:w="2268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51" w:line="242" w:lineRule="auto"/>
              <w:ind w:right="14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24 700 000</w:t>
            </w:r>
          </w:p>
        </w:tc>
      </w:tr>
      <w:tr w:rsidR="00147D83" w:rsidRPr="00147D83" w:rsidTr="00383557">
        <w:tc>
          <w:tcPr>
            <w:tcW w:w="2284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Усього</w:t>
            </w:r>
            <w:proofErr w:type="spellEnd"/>
          </w:p>
        </w:tc>
        <w:tc>
          <w:tcPr>
            <w:tcW w:w="2389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94 008 080</w:t>
            </w:r>
          </w:p>
        </w:tc>
        <w:tc>
          <w:tcPr>
            <w:tcW w:w="2126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106 298 000</w:t>
            </w:r>
          </w:p>
        </w:tc>
        <w:tc>
          <w:tcPr>
            <w:tcW w:w="2268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98 465 000</w:t>
            </w:r>
          </w:p>
        </w:tc>
      </w:tr>
    </w:tbl>
    <w:p w:rsidR="00147D83" w:rsidRPr="00147D83" w:rsidRDefault="00147D83" w:rsidP="00147D83">
      <w:pPr>
        <w:spacing w:after="0"/>
        <w:ind w:right="15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D83">
        <w:rPr>
          <w:rFonts w:ascii="Times New Roman" w:hAnsi="Times New Roman" w:cs="Times New Roman"/>
          <w:color w:val="000000" w:themeColor="text1"/>
          <w:sz w:val="28"/>
          <w:szCs w:val="28"/>
        </w:rPr>
        <w:t>Фінансування  забезпечується як за рахунок державного та бюджету міської територіальної громади , так і шляхом залучення міжнародної технічної допомоги, зокрема грантових коштів. Частка бюджету міської територіальної громади становить  понад 44% загального обсягу публічних інвестицій, що свідчить про високий рівень фінансової участі громади у реалізації стратегічних напрямків.</w:t>
      </w:r>
    </w:p>
    <w:p w:rsidR="00147D83" w:rsidRPr="00147D83" w:rsidRDefault="00147D83" w:rsidP="00147D83">
      <w:pPr>
        <w:ind w:right="15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47D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Розподіл орієнтовного граничного сукупного обсягу публічних інвестицій на 2026-2028 роки на галузі для публічного інвестування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780"/>
        <w:gridCol w:w="1696"/>
        <w:gridCol w:w="1696"/>
        <w:gridCol w:w="1796"/>
      </w:tblGrid>
      <w:tr w:rsidR="00147D83" w:rsidRPr="00147D83" w:rsidTr="00383557">
        <w:tc>
          <w:tcPr>
            <w:tcW w:w="2235" w:type="dxa"/>
          </w:tcPr>
          <w:p w:rsidR="00147D83" w:rsidRPr="00147D83" w:rsidRDefault="00147D83" w:rsidP="00147D83">
            <w:pPr>
              <w:ind w:right="15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Галузь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(сектор)</w:t>
            </w:r>
          </w:p>
        </w:tc>
        <w:tc>
          <w:tcPr>
            <w:tcW w:w="1874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2026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874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2027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874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51" w:line="242" w:lineRule="auto"/>
              <w:ind w:right="1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2028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914" w:type="dxa"/>
          </w:tcPr>
          <w:p w:rsidR="00147D83" w:rsidRPr="00147D83" w:rsidRDefault="00147D83" w:rsidP="00147D83">
            <w:pPr>
              <w:ind w:right="15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Разом (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тис.грн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147D83" w:rsidRPr="00147D83" w:rsidTr="00383557">
        <w:tc>
          <w:tcPr>
            <w:tcW w:w="2235" w:type="dxa"/>
          </w:tcPr>
          <w:p w:rsidR="00147D83" w:rsidRPr="00147D83" w:rsidRDefault="00147D83" w:rsidP="00147D83">
            <w:pPr>
              <w:ind w:right="15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Муніципальна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інфраструктура</w:t>
            </w:r>
            <w:proofErr w:type="spellEnd"/>
          </w:p>
        </w:tc>
        <w:tc>
          <w:tcPr>
            <w:tcW w:w="1874" w:type="dxa"/>
          </w:tcPr>
          <w:p w:rsidR="00147D83" w:rsidRPr="00147D83" w:rsidRDefault="00147D83" w:rsidP="00147D83">
            <w:pPr>
              <w:ind w:right="1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13 837 000</w:t>
            </w:r>
          </w:p>
        </w:tc>
        <w:tc>
          <w:tcPr>
            <w:tcW w:w="1874" w:type="dxa"/>
          </w:tcPr>
          <w:p w:rsidR="00147D83" w:rsidRPr="00147D83" w:rsidRDefault="00147D83" w:rsidP="00147D83">
            <w:pPr>
              <w:ind w:right="1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13 500 000</w:t>
            </w:r>
          </w:p>
        </w:tc>
        <w:tc>
          <w:tcPr>
            <w:tcW w:w="1874" w:type="dxa"/>
          </w:tcPr>
          <w:p w:rsidR="00147D83" w:rsidRPr="00147D83" w:rsidRDefault="00147D83" w:rsidP="00147D83">
            <w:pPr>
              <w:ind w:right="1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12 620 000</w:t>
            </w:r>
          </w:p>
        </w:tc>
        <w:tc>
          <w:tcPr>
            <w:tcW w:w="1914" w:type="dxa"/>
          </w:tcPr>
          <w:p w:rsidR="00147D83" w:rsidRPr="00147D83" w:rsidRDefault="00147D83" w:rsidP="00147D83">
            <w:pPr>
              <w:ind w:right="1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39 957 000</w:t>
            </w:r>
          </w:p>
        </w:tc>
      </w:tr>
      <w:tr w:rsidR="00147D83" w:rsidRPr="00147D83" w:rsidTr="00383557">
        <w:tc>
          <w:tcPr>
            <w:tcW w:w="2235" w:type="dxa"/>
          </w:tcPr>
          <w:p w:rsidR="00147D83" w:rsidRPr="00147D83" w:rsidRDefault="00147D83" w:rsidP="00147D83">
            <w:pPr>
              <w:ind w:right="15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Освіта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 наука</w:t>
            </w:r>
          </w:p>
        </w:tc>
        <w:tc>
          <w:tcPr>
            <w:tcW w:w="1874" w:type="dxa"/>
          </w:tcPr>
          <w:p w:rsidR="00147D83" w:rsidRPr="00147D83" w:rsidRDefault="00147D83" w:rsidP="00147D83">
            <w:pPr>
              <w:ind w:right="1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1 163 000</w:t>
            </w:r>
          </w:p>
        </w:tc>
        <w:tc>
          <w:tcPr>
            <w:tcW w:w="1874" w:type="dxa"/>
          </w:tcPr>
          <w:p w:rsidR="00147D83" w:rsidRPr="00147D83" w:rsidRDefault="00147D83" w:rsidP="00147D83">
            <w:pPr>
              <w:ind w:right="1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2 920 000</w:t>
            </w:r>
          </w:p>
        </w:tc>
        <w:tc>
          <w:tcPr>
            <w:tcW w:w="1874" w:type="dxa"/>
          </w:tcPr>
          <w:p w:rsidR="00147D83" w:rsidRPr="00147D83" w:rsidRDefault="00147D83" w:rsidP="00147D83">
            <w:pPr>
              <w:ind w:right="1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3 000 000</w:t>
            </w:r>
          </w:p>
        </w:tc>
        <w:tc>
          <w:tcPr>
            <w:tcW w:w="1914" w:type="dxa"/>
          </w:tcPr>
          <w:p w:rsidR="00147D83" w:rsidRPr="00147D83" w:rsidRDefault="00147D83" w:rsidP="00147D83">
            <w:pPr>
              <w:ind w:right="1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7 083 000</w:t>
            </w:r>
          </w:p>
        </w:tc>
      </w:tr>
      <w:tr w:rsidR="00147D83" w:rsidRPr="00147D83" w:rsidTr="00383557">
        <w:tc>
          <w:tcPr>
            <w:tcW w:w="2235" w:type="dxa"/>
          </w:tcPr>
          <w:p w:rsidR="00147D83" w:rsidRPr="00147D83" w:rsidRDefault="00147D83" w:rsidP="00147D83">
            <w:pPr>
              <w:ind w:right="15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Охорона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здоров</w:t>
            </w: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’</w:t>
            </w: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1874" w:type="dxa"/>
            <w:vAlign w:val="center"/>
          </w:tcPr>
          <w:p w:rsidR="00147D83" w:rsidRPr="00147D83" w:rsidRDefault="00147D83" w:rsidP="00147D83">
            <w:pPr>
              <w:ind w:right="1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5 000 000</w:t>
            </w:r>
          </w:p>
        </w:tc>
        <w:tc>
          <w:tcPr>
            <w:tcW w:w="1874" w:type="dxa"/>
          </w:tcPr>
          <w:p w:rsidR="00147D83" w:rsidRPr="00147D83" w:rsidRDefault="00147D83" w:rsidP="00147D83">
            <w:pPr>
              <w:ind w:right="1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5 000 000</w:t>
            </w:r>
          </w:p>
        </w:tc>
        <w:tc>
          <w:tcPr>
            <w:tcW w:w="1874" w:type="dxa"/>
          </w:tcPr>
          <w:p w:rsidR="00147D83" w:rsidRPr="00147D83" w:rsidRDefault="00147D83" w:rsidP="00147D83">
            <w:pPr>
              <w:ind w:right="1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7 000 000</w:t>
            </w:r>
          </w:p>
        </w:tc>
        <w:tc>
          <w:tcPr>
            <w:tcW w:w="1914" w:type="dxa"/>
          </w:tcPr>
          <w:p w:rsidR="00147D83" w:rsidRPr="00147D83" w:rsidRDefault="00147D83" w:rsidP="00147D83">
            <w:pPr>
              <w:ind w:right="1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17 000 000</w:t>
            </w:r>
          </w:p>
        </w:tc>
      </w:tr>
      <w:tr w:rsidR="00147D83" w:rsidRPr="00147D83" w:rsidTr="00383557">
        <w:tc>
          <w:tcPr>
            <w:tcW w:w="2235" w:type="dxa"/>
          </w:tcPr>
          <w:p w:rsidR="00147D83" w:rsidRPr="00147D83" w:rsidRDefault="00147D83" w:rsidP="00147D83">
            <w:pPr>
              <w:ind w:right="15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Усього</w:t>
            </w:r>
            <w:proofErr w:type="spellEnd"/>
          </w:p>
        </w:tc>
        <w:tc>
          <w:tcPr>
            <w:tcW w:w="1874" w:type="dxa"/>
          </w:tcPr>
          <w:p w:rsidR="00147D83" w:rsidRPr="00147D83" w:rsidRDefault="00147D83" w:rsidP="00147D83">
            <w:pPr>
              <w:ind w:right="1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20 000 000</w:t>
            </w:r>
          </w:p>
        </w:tc>
        <w:tc>
          <w:tcPr>
            <w:tcW w:w="1874" w:type="dxa"/>
          </w:tcPr>
          <w:p w:rsidR="00147D83" w:rsidRPr="00147D83" w:rsidRDefault="00147D83" w:rsidP="00147D83">
            <w:pPr>
              <w:ind w:right="1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21 420 000</w:t>
            </w:r>
          </w:p>
        </w:tc>
        <w:tc>
          <w:tcPr>
            <w:tcW w:w="1874" w:type="dxa"/>
          </w:tcPr>
          <w:p w:rsidR="00147D83" w:rsidRPr="00147D83" w:rsidRDefault="00147D83" w:rsidP="00147D83">
            <w:pPr>
              <w:ind w:right="1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22 620 000</w:t>
            </w:r>
          </w:p>
        </w:tc>
        <w:tc>
          <w:tcPr>
            <w:tcW w:w="1914" w:type="dxa"/>
          </w:tcPr>
          <w:p w:rsidR="00147D83" w:rsidRPr="00147D83" w:rsidRDefault="00147D83" w:rsidP="00147D83">
            <w:pPr>
              <w:ind w:right="1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64 040 000</w:t>
            </w:r>
          </w:p>
        </w:tc>
      </w:tr>
    </w:tbl>
    <w:p w:rsidR="00147D83" w:rsidRPr="00147D83" w:rsidRDefault="00147D83" w:rsidP="00147D83">
      <w:pPr>
        <w:spacing w:after="0"/>
        <w:ind w:right="15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D83">
        <w:rPr>
          <w:rFonts w:ascii="Times New Roman" w:hAnsi="Times New Roman" w:cs="Times New Roman"/>
          <w:color w:val="000000" w:themeColor="text1"/>
          <w:sz w:val="28"/>
          <w:szCs w:val="28"/>
        </w:rPr>
        <w:t>Підсумки:</w:t>
      </w:r>
    </w:p>
    <w:p w:rsidR="00147D83" w:rsidRPr="00147D83" w:rsidRDefault="00147D83" w:rsidP="00147D83">
      <w:pPr>
        <w:spacing w:after="0"/>
        <w:ind w:right="15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Середньостроковий план охоплює три ключові галузі, забезпечуючи сталість водопостачання та водовідведення, модернізацію енергетики, екологічну безпеку та соціальні послуги. Також визначено пріоритети у сфері забезпечення доступу до якісної  освіти, розвитку, розвитку наукового потенціалу, модернізації закладів охорони </w:t>
      </w:r>
      <w:proofErr w:type="spellStart"/>
      <w:r w:rsidRPr="00147D83">
        <w:rPr>
          <w:rFonts w:ascii="Times New Roman" w:hAnsi="Times New Roman" w:cs="Times New Roman"/>
          <w:color w:val="000000" w:themeColor="text1"/>
          <w:sz w:val="28"/>
          <w:szCs w:val="28"/>
        </w:rPr>
        <w:t>здоров</w:t>
      </w:r>
      <w:proofErr w:type="spellEnd"/>
      <w:r w:rsidRPr="00147D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 w:rsidRPr="00147D83">
        <w:rPr>
          <w:rFonts w:ascii="Times New Roman" w:hAnsi="Times New Roman" w:cs="Times New Roman"/>
          <w:color w:val="000000" w:themeColor="text1"/>
          <w:sz w:val="28"/>
          <w:szCs w:val="28"/>
        </w:rPr>
        <w:t>я та впровадження сучасних медичних технологій.</w:t>
      </w:r>
    </w:p>
    <w:p w:rsidR="00147D83" w:rsidRPr="00147D83" w:rsidRDefault="00147D83" w:rsidP="00147D83">
      <w:pPr>
        <w:spacing w:after="0"/>
        <w:ind w:right="15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 передбачає завершення розпочатих та запуск нових стратегічних </w:t>
      </w:r>
      <w:proofErr w:type="spellStart"/>
      <w:r w:rsidRPr="00147D83">
        <w:rPr>
          <w:rFonts w:ascii="Times New Roman" w:hAnsi="Times New Roman" w:cs="Times New Roman"/>
          <w:color w:val="000000" w:themeColor="text1"/>
          <w:sz w:val="28"/>
          <w:szCs w:val="28"/>
        </w:rPr>
        <w:t>проєктів</w:t>
      </w:r>
      <w:proofErr w:type="spellEnd"/>
      <w:r w:rsidRPr="00147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узгоджених із пріоритетами державної політики, і стане основою для формування Єдиного портфеля публічних інвестицій громади на середньострокову перспективу. </w:t>
      </w:r>
    </w:p>
    <w:p w:rsidR="00147D83" w:rsidRPr="00147D83" w:rsidRDefault="00147D83" w:rsidP="00147D83">
      <w:pPr>
        <w:ind w:right="1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D8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Реалізація </w:t>
      </w:r>
      <w:proofErr w:type="spellStart"/>
      <w:r w:rsidRPr="00147D83">
        <w:rPr>
          <w:rFonts w:ascii="Times New Roman" w:hAnsi="Times New Roman" w:cs="Times New Roman"/>
          <w:color w:val="000000" w:themeColor="text1"/>
          <w:sz w:val="28"/>
          <w:szCs w:val="28"/>
        </w:rPr>
        <w:t>проєктів</w:t>
      </w:r>
      <w:proofErr w:type="spellEnd"/>
      <w:r w:rsidRPr="00147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сприятиме досягненню стратегічних цілей держави та громади, забезпечить ефективне використання публічних коштів та залучення зовнішніх ресурсів. </w:t>
      </w:r>
    </w:p>
    <w:p w:rsidR="00147D83" w:rsidRPr="00147D83" w:rsidRDefault="00147D83" w:rsidP="00147D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7D83" w:rsidRPr="00147D83" w:rsidRDefault="00147D83" w:rsidP="00147D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Керуючий справами </w:t>
      </w:r>
    </w:p>
    <w:p w:rsidR="00147D83" w:rsidRPr="00147D83" w:rsidRDefault="00147D83" w:rsidP="00147D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7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виконавчого комітету міської ради                                       Олександр ДОЛЯ</w:t>
      </w:r>
    </w:p>
    <w:p w:rsidR="006F7615" w:rsidRDefault="006F7615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D83" w:rsidRDefault="00147D83" w:rsidP="00FE6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7D83" w:rsidSect="00FE698B">
          <w:pgSz w:w="11906" w:h="16838"/>
          <w:pgMar w:top="993" w:right="850" w:bottom="1135" w:left="1843" w:header="708" w:footer="708" w:gutter="0"/>
          <w:cols w:space="708"/>
          <w:docGrid w:linePitch="360"/>
        </w:sectPr>
      </w:pPr>
    </w:p>
    <w:p w:rsidR="00147D83" w:rsidRPr="00147D83" w:rsidRDefault="00147D83" w:rsidP="00147D83">
      <w:pPr>
        <w:spacing w:after="0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D83"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147D83" w:rsidRPr="00147D83" w:rsidRDefault="00147D83" w:rsidP="00147D83">
      <w:pPr>
        <w:spacing w:after="0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147D83">
        <w:rPr>
          <w:rFonts w:ascii="Times New Roman" w:hAnsi="Times New Roman" w:cs="Times New Roman"/>
          <w:sz w:val="28"/>
          <w:szCs w:val="28"/>
        </w:rPr>
        <w:t xml:space="preserve">до Середньострокового плану пріоритетних публічних інвестицій </w:t>
      </w:r>
    </w:p>
    <w:p w:rsidR="00147D83" w:rsidRPr="00147D83" w:rsidRDefault="00147D83" w:rsidP="00147D83">
      <w:pPr>
        <w:spacing w:after="0"/>
        <w:ind w:left="9204"/>
        <w:jc w:val="both"/>
        <w:rPr>
          <w:rFonts w:ascii="Times New Roman" w:hAnsi="Times New Roman" w:cs="Times New Roman"/>
          <w:sz w:val="28"/>
          <w:szCs w:val="28"/>
        </w:rPr>
      </w:pPr>
      <w:r w:rsidRPr="00147D83">
        <w:rPr>
          <w:rFonts w:ascii="Times New Roman" w:hAnsi="Times New Roman" w:cs="Times New Roman"/>
          <w:sz w:val="28"/>
          <w:szCs w:val="28"/>
        </w:rPr>
        <w:t xml:space="preserve">  </w:t>
      </w:r>
      <w:r w:rsidRPr="00147D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7D83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Pr="00147D83">
        <w:rPr>
          <w:rFonts w:ascii="Times New Roman" w:hAnsi="Times New Roman" w:cs="Times New Roman"/>
          <w:sz w:val="28"/>
          <w:szCs w:val="28"/>
        </w:rPr>
        <w:t xml:space="preserve"> міської територіальної </w:t>
      </w:r>
    </w:p>
    <w:p w:rsidR="00147D83" w:rsidRPr="00147D83" w:rsidRDefault="00147D83" w:rsidP="00147D83">
      <w:pPr>
        <w:spacing w:after="0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147D83">
        <w:rPr>
          <w:rFonts w:ascii="Times New Roman" w:hAnsi="Times New Roman" w:cs="Times New Roman"/>
          <w:sz w:val="28"/>
          <w:szCs w:val="28"/>
        </w:rPr>
        <w:t>громади  на 2026 -2028 роки</w:t>
      </w:r>
    </w:p>
    <w:p w:rsidR="00147D83" w:rsidRPr="00147D83" w:rsidRDefault="00147D83" w:rsidP="00147D83">
      <w:pPr>
        <w:jc w:val="both"/>
        <w:rPr>
          <w:rFonts w:ascii="Times New Roman" w:hAnsi="Times New Roman" w:cs="Times New Roman"/>
          <w:sz w:val="28"/>
          <w:szCs w:val="28"/>
        </w:rPr>
      </w:pPr>
      <w:r w:rsidRPr="00147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D83" w:rsidRPr="00147D83" w:rsidRDefault="00147D83" w:rsidP="00147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D83">
        <w:rPr>
          <w:rFonts w:ascii="Times New Roman" w:hAnsi="Times New Roman" w:cs="Times New Roman"/>
          <w:b/>
          <w:sz w:val="28"/>
          <w:szCs w:val="28"/>
        </w:rPr>
        <w:t>Основні напрямки публічного інвестування</w:t>
      </w:r>
    </w:p>
    <w:p w:rsidR="00147D83" w:rsidRPr="00147D83" w:rsidRDefault="00147D83" w:rsidP="00147D83">
      <w:pPr>
        <w:rPr>
          <w:rFonts w:ascii="Times New Roman" w:hAnsi="Times New Roman" w:cs="Times New Roman"/>
          <w:sz w:val="28"/>
          <w:szCs w:val="28"/>
        </w:rPr>
      </w:pPr>
      <w:r w:rsidRPr="00147D8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47D83">
        <w:rPr>
          <w:rFonts w:ascii="Times New Roman" w:hAnsi="Times New Roman" w:cs="Times New Roman"/>
          <w:sz w:val="28"/>
          <w:szCs w:val="28"/>
        </w:rPr>
        <w:t xml:space="preserve">Галузь для публічного інвестування – </w:t>
      </w:r>
      <w:r w:rsidRPr="00147D83">
        <w:rPr>
          <w:rFonts w:ascii="Times New Roman" w:hAnsi="Times New Roman" w:cs="Times New Roman"/>
          <w:b/>
          <w:bCs/>
          <w:sz w:val="28"/>
          <w:szCs w:val="28"/>
        </w:rPr>
        <w:t>Освіта і наука</w:t>
      </w:r>
      <w:r w:rsidRPr="00147D8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47D83">
        <w:rPr>
          <w:rFonts w:ascii="Times New Roman" w:hAnsi="Times New Roman" w:cs="Times New Roman"/>
          <w:sz w:val="28"/>
          <w:szCs w:val="28"/>
        </w:rPr>
        <w:t xml:space="preserve">Структурний підрозділ, відповідальний  за галузь для публічного інвестування – Управління освіти і науки </w:t>
      </w:r>
      <w:proofErr w:type="spellStart"/>
      <w:r w:rsidRPr="00147D83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Pr="00147D83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147D83">
        <w:rPr>
          <w:rFonts w:ascii="Times New Roman" w:hAnsi="Times New Roman" w:cs="Times New Roman"/>
          <w:sz w:val="28"/>
          <w:szCs w:val="28"/>
        </w:rPr>
        <w:br/>
        <w:t>Граничний сукупний обсяг публічних інвестицій на середньостроковий період – 7 083 000 тис. грн</w:t>
      </w:r>
    </w:p>
    <w:p w:rsidR="00147D83" w:rsidRPr="00147D83" w:rsidRDefault="00147D83" w:rsidP="00147D8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494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2410"/>
        <w:gridCol w:w="1414"/>
        <w:gridCol w:w="1138"/>
        <w:gridCol w:w="2166"/>
      </w:tblGrid>
      <w:tr w:rsidR="00147D83" w:rsidRPr="00147D83" w:rsidTr="00383557">
        <w:tc>
          <w:tcPr>
            <w:tcW w:w="2547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Напрям</w:t>
            </w:r>
            <w:proofErr w:type="spellEnd"/>
          </w:p>
        </w:tc>
        <w:tc>
          <w:tcPr>
            <w:tcW w:w="2410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Діючі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проекти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2409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Підсектор</w:t>
            </w:r>
            <w:proofErr w:type="spellEnd"/>
          </w:p>
        </w:tc>
        <w:tc>
          <w:tcPr>
            <w:tcW w:w="2410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Цільовий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показник</w:t>
            </w:r>
            <w:proofErr w:type="spellEnd"/>
          </w:p>
        </w:tc>
        <w:tc>
          <w:tcPr>
            <w:tcW w:w="1414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Базове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значення</w:t>
            </w:r>
            <w:proofErr w:type="spellEnd"/>
          </w:p>
        </w:tc>
        <w:tc>
          <w:tcPr>
            <w:tcW w:w="1138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Ціль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2028</w:t>
            </w:r>
          </w:p>
        </w:tc>
        <w:tc>
          <w:tcPr>
            <w:tcW w:w="2166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Стратегія</w:t>
            </w:r>
            <w:proofErr w:type="spellEnd"/>
          </w:p>
        </w:tc>
      </w:tr>
      <w:tr w:rsidR="00147D83" w:rsidRPr="00147D83" w:rsidTr="0038355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ind w:right="1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Забезпечення</w:t>
            </w:r>
            <w:proofErr w:type="spellEnd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</w:t>
            </w:r>
            <w:proofErr w:type="spellStart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закладів</w:t>
            </w:r>
            <w:proofErr w:type="spellEnd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загальної</w:t>
            </w:r>
            <w:proofErr w:type="spellEnd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середньої</w:t>
            </w:r>
            <w:proofErr w:type="spellEnd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освіти</w:t>
            </w:r>
            <w:proofErr w:type="spellEnd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засобами</w:t>
            </w:r>
            <w:proofErr w:type="spellEnd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навчання</w:t>
            </w:r>
            <w:proofErr w:type="spellEnd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та </w:t>
            </w:r>
            <w:proofErr w:type="spellStart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обладнанням</w:t>
            </w:r>
            <w:proofErr w:type="spellEnd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 межах </w:t>
            </w:r>
            <w:proofErr w:type="spellStart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впровадження</w:t>
            </w:r>
            <w:proofErr w:type="spellEnd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реформи</w:t>
            </w:r>
            <w:proofErr w:type="spellEnd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«Нова </w:t>
            </w:r>
            <w:proofErr w:type="spellStart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українська</w:t>
            </w:r>
            <w:proofErr w:type="spellEnd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школа»</w:t>
            </w:r>
          </w:p>
        </w:tc>
        <w:tc>
          <w:tcPr>
            <w:tcW w:w="2410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Забезпечення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якісної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сучасної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доступної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«Нова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</w:p>
        </w:tc>
        <w:tc>
          <w:tcPr>
            <w:tcW w:w="2409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Шкільна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  <w:proofErr w:type="spellEnd"/>
          </w:p>
        </w:tc>
        <w:tc>
          <w:tcPr>
            <w:tcW w:w="2410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отримали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нове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навчальне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(од.)</w:t>
            </w: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навчальних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кабінетів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оснащених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стандартів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НУШ (од.)</w:t>
            </w: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отримали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доступ до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оновлених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4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5 147</w:t>
            </w:r>
          </w:p>
        </w:tc>
        <w:tc>
          <w:tcPr>
            <w:tcW w:w="1138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14</w:t>
            </w: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1 400</w:t>
            </w:r>
          </w:p>
        </w:tc>
        <w:tc>
          <w:tcPr>
            <w:tcW w:w="2166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Державна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стратегія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регіонального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на 2021-2027 роки,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Стратегія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Звягельської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громади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на 2024-2030 роки.</w:t>
            </w:r>
          </w:p>
        </w:tc>
      </w:tr>
      <w:tr w:rsidR="00147D83" w:rsidRPr="00147D83" w:rsidTr="0038355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ind w:right="156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Облаштування</w:t>
            </w:r>
            <w:proofErr w:type="spellEnd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безпечних</w:t>
            </w:r>
            <w:proofErr w:type="spellEnd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умов у закладах, </w:t>
            </w:r>
            <w:proofErr w:type="spellStart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що</w:t>
            </w:r>
            <w:proofErr w:type="spellEnd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надають</w:t>
            </w:r>
            <w:proofErr w:type="spellEnd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загальну</w:t>
            </w:r>
            <w:proofErr w:type="spellEnd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середню</w:t>
            </w:r>
            <w:proofErr w:type="spellEnd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освіту</w:t>
            </w:r>
            <w:proofErr w:type="spellEnd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протипожежний</w:t>
            </w:r>
            <w:proofErr w:type="spellEnd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захист</w:t>
            </w:r>
            <w:proofErr w:type="spellEnd"/>
            <w:r w:rsidRPr="00147D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Протипожежні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гімназіях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№ 2, №3, №10,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Великомолодьківській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гімназії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Пилиповецькому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ліцеї</w:t>
            </w:r>
            <w:proofErr w:type="spellEnd"/>
          </w:p>
        </w:tc>
        <w:tc>
          <w:tcPr>
            <w:tcW w:w="2409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Шкільна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  <w:proofErr w:type="spellEnd"/>
          </w:p>
        </w:tc>
        <w:tc>
          <w:tcPr>
            <w:tcW w:w="2410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, де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заходи з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протипожежного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(од.)</w:t>
            </w: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встановлених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оновлених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систем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пожежної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сигналізації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од.)</w:t>
            </w: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охоплених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заходами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протипожежного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(м</w:t>
            </w:r>
            <w:r w:rsidRPr="00147D83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4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      9</w:t>
            </w: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      9</w:t>
            </w: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50823,9</w:t>
            </w:r>
          </w:p>
        </w:tc>
        <w:tc>
          <w:tcPr>
            <w:tcW w:w="1138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15601,8</w:t>
            </w:r>
          </w:p>
        </w:tc>
        <w:tc>
          <w:tcPr>
            <w:tcW w:w="2166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Концепція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безпеки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Стратегія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Звягельської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на 2024-2030 роки</w:t>
            </w:r>
          </w:p>
        </w:tc>
      </w:tr>
    </w:tbl>
    <w:p w:rsidR="00147D83" w:rsidRPr="00147D83" w:rsidRDefault="00147D83" w:rsidP="00147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D83" w:rsidRPr="00147D83" w:rsidRDefault="00147D83" w:rsidP="00147D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D83">
        <w:rPr>
          <w:rFonts w:ascii="Times New Roman" w:hAnsi="Times New Roman" w:cs="Times New Roman"/>
          <w:sz w:val="28"/>
          <w:szCs w:val="28"/>
        </w:rPr>
        <w:lastRenderedPageBreak/>
        <w:t xml:space="preserve">Галузь (сектор) для публічного інвестування – </w:t>
      </w:r>
      <w:r w:rsidRPr="00147D83">
        <w:rPr>
          <w:rFonts w:ascii="Times New Roman" w:hAnsi="Times New Roman" w:cs="Times New Roman"/>
          <w:b/>
          <w:sz w:val="28"/>
          <w:szCs w:val="28"/>
        </w:rPr>
        <w:t xml:space="preserve">Охорона </w:t>
      </w:r>
      <w:proofErr w:type="spellStart"/>
      <w:r w:rsidRPr="00147D83">
        <w:rPr>
          <w:rFonts w:ascii="Times New Roman" w:hAnsi="Times New Roman" w:cs="Times New Roman"/>
          <w:b/>
          <w:sz w:val="28"/>
          <w:szCs w:val="28"/>
        </w:rPr>
        <w:t>здоров</w:t>
      </w:r>
      <w:proofErr w:type="spellEnd"/>
      <w:r w:rsidRPr="00147D83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Pr="00147D83">
        <w:rPr>
          <w:rFonts w:ascii="Times New Roman" w:hAnsi="Times New Roman" w:cs="Times New Roman"/>
          <w:b/>
          <w:sz w:val="28"/>
          <w:szCs w:val="28"/>
        </w:rPr>
        <w:t>я</w:t>
      </w:r>
    </w:p>
    <w:p w:rsidR="00147D83" w:rsidRPr="00147D83" w:rsidRDefault="00147D83" w:rsidP="00147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D83">
        <w:rPr>
          <w:rFonts w:ascii="Times New Roman" w:hAnsi="Times New Roman" w:cs="Times New Roman"/>
          <w:sz w:val="28"/>
          <w:szCs w:val="28"/>
        </w:rPr>
        <w:t xml:space="preserve">Структурний підрозділ, відповідальний за галузь (сектор) для публічного інвестування – Відділ охорони здоров’я та медичного забезпечення </w:t>
      </w:r>
      <w:proofErr w:type="spellStart"/>
      <w:r w:rsidRPr="00147D83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Pr="00147D83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147D83" w:rsidRPr="00147D83" w:rsidRDefault="00147D83" w:rsidP="00147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D83">
        <w:rPr>
          <w:rFonts w:ascii="Times New Roman" w:hAnsi="Times New Roman" w:cs="Times New Roman"/>
          <w:sz w:val="28"/>
          <w:szCs w:val="28"/>
        </w:rPr>
        <w:t xml:space="preserve">Граничний сукупний обсяг публічних інвестицій на середньостроковий період – </w:t>
      </w:r>
      <w:r w:rsidRPr="00147D83">
        <w:rPr>
          <w:rFonts w:ascii="Times New Roman" w:hAnsi="Times New Roman" w:cs="Times New Roman"/>
          <w:color w:val="000000" w:themeColor="text1"/>
          <w:sz w:val="28"/>
          <w:szCs w:val="28"/>
        </w:rPr>
        <w:t>17 000 000</w:t>
      </w:r>
      <w:r w:rsidRPr="00147D83">
        <w:rPr>
          <w:rFonts w:ascii="Times New Roman" w:hAnsi="Times New Roman" w:cs="Times New Roman"/>
          <w:sz w:val="28"/>
          <w:szCs w:val="28"/>
        </w:rPr>
        <w:t xml:space="preserve"> тис. грн</w:t>
      </w:r>
    </w:p>
    <w:p w:rsidR="00147D83" w:rsidRPr="00147D83" w:rsidRDefault="00147D83" w:rsidP="00147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494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2410"/>
        <w:gridCol w:w="1414"/>
        <w:gridCol w:w="996"/>
        <w:gridCol w:w="2308"/>
      </w:tblGrid>
      <w:tr w:rsidR="00147D83" w:rsidRPr="00147D83" w:rsidTr="00383557">
        <w:tc>
          <w:tcPr>
            <w:tcW w:w="2547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Напрям</w:t>
            </w:r>
            <w:proofErr w:type="spellEnd"/>
          </w:p>
        </w:tc>
        <w:tc>
          <w:tcPr>
            <w:tcW w:w="2410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Діючі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проекти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2409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Підсектор</w:t>
            </w:r>
            <w:proofErr w:type="spellEnd"/>
          </w:p>
        </w:tc>
        <w:tc>
          <w:tcPr>
            <w:tcW w:w="2410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Цільовий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показник</w:t>
            </w:r>
            <w:proofErr w:type="spellEnd"/>
          </w:p>
        </w:tc>
        <w:tc>
          <w:tcPr>
            <w:tcW w:w="1414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Базове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значення</w:t>
            </w:r>
            <w:proofErr w:type="spellEnd"/>
          </w:p>
        </w:tc>
        <w:tc>
          <w:tcPr>
            <w:tcW w:w="996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Ціль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2028</w:t>
            </w:r>
          </w:p>
        </w:tc>
        <w:tc>
          <w:tcPr>
            <w:tcW w:w="2308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Стратегія</w:t>
            </w:r>
            <w:proofErr w:type="spellEnd"/>
          </w:p>
        </w:tc>
      </w:tr>
      <w:tr w:rsidR="00147D83" w:rsidRPr="00147D83" w:rsidTr="0038355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83" w:rsidRPr="00FE6E77" w:rsidRDefault="00147D83" w:rsidP="00147D83">
            <w:pPr>
              <w:widowControl w:val="0"/>
              <w:autoSpaceDE w:val="0"/>
              <w:autoSpaceDN w:val="0"/>
              <w:ind w:right="15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доступу до якісної медичної допомоги шляхом розбудови й модернізації об’єктів медичної інфраструктури</w:t>
            </w:r>
          </w:p>
        </w:tc>
        <w:tc>
          <w:tcPr>
            <w:tcW w:w="2410" w:type="dxa"/>
          </w:tcPr>
          <w:p w:rsidR="00147D83" w:rsidRPr="00FE6E77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хірургічного корпусу комунального некомерційного підприємства  «</w:t>
            </w:r>
            <w:proofErr w:type="spellStart"/>
            <w:r w:rsidRPr="00FE6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Звягельська</w:t>
            </w:r>
            <w:proofErr w:type="spellEnd"/>
            <w:r w:rsidRPr="00FE6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багатопрофільна лікарня» ЗМР</w:t>
            </w:r>
          </w:p>
        </w:tc>
        <w:tc>
          <w:tcPr>
            <w:tcW w:w="2409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Спеціалізована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медична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2410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, яке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отримало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доступ до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покращених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медичних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4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996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2308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Стратегія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до 2030 року, 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Стратегія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Звягельської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на 2024-2030 роки.</w:t>
            </w:r>
          </w:p>
        </w:tc>
      </w:tr>
    </w:tbl>
    <w:p w:rsidR="00147D83" w:rsidRPr="00147D83" w:rsidRDefault="00147D83" w:rsidP="00147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D83" w:rsidRPr="00147D83" w:rsidRDefault="00147D83" w:rsidP="00147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D83">
        <w:rPr>
          <w:rFonts w:ascii="Times New Roman" w:hAnsi="Times New Roman" w:cs="Times New Roman"/>
          <w:sz w:val="28"/>
          <w:szCs w:val="28"/>
        </w:rPr>
        <w:t xml:space="preserve">Галузь (сектор) для публічного інвестування – </w:t>
      </w:r>
      <w:r w:rsidRPr="00147D83">
        <w:rPr>
          <w:rFonts w:ascii="Times New Roman" w:hAnsi="Times New Roman" w:cs="Times New Roman"/>
          <w:b/>
          <w:sz w:val="28"/>
          <w:szCs w:val="28"/>
        </w:rPr>
        <w:t>Муніципальна інфраструктура та послуги</w:t>
      </w:r>
      <w:r w:rsidRPr="00147D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7D83" w:rsidRPr="00147D83" w:rsidRDefault="00147D83" w:rsidP="00147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D83">
        <w:rPr>
          <w:rFonts w:ascii="Times New Roman" w:hAnsi="Times New Roman" w:cs="Times New Roman"/>
          <w:sz w:val="28"/>
          <w:szCs w:val="28"/>
        </w:rPr>
        <w:t xml:space="preserve">Структурний підрозділ, відповідальний за галузь (сектор) для публічного інвестування – Управління житлово-комунального господарства і екології </w:t>
      </w:r>
      <w:proofErr w:type="spellStart"/>
      <w:r w:rsidRPr="00147D83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Pr="00147D83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147D83" w:rsidRPr="00147D83" w:rsidRDefault="00147D83" w:rsidP="00147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D83">
        <w:rPr>
          <w:rFonts w:ascii="Times New Roman" w:hAnsi="Times New Roman" w:cs="Times New Roman"/>
          <w:sz w:val="28"/>
          <w:szCs w:val="28"/>
        </w:rPr>
        <w:t xml:space="preserve">Граничний сукупний обсяг публічних інвестицій на середньостроковий період - </w:t>
      </w:r>
      <w:r w:rsidRPr="00147D83">
        <w:rPr>
          <w:rFonts w:ascii="Times New Roman" w:hAnsi="Times New Roman" w:cs="Times New Roman"/>
          <w:color w:val="000000" w:themeColor="text1"/>
          <w:sz w:val="28"/>
          <w:szCs w:val="28"/>
        </w:rPr>
        <w:t>39 957 000</w:t>
      </w:r>
      <w:r w:rsidRPr="00147D83">
        <w:rPr>
          <w:rFonts w:ascii="Times New Roman" w:hAnsi="Times New Roman" w:cs="Times New Roman"/>
          <w:sz w:val="28"/>
          <w:szCs w:val="28"/>
        </w:rPr>
        <w:t xml:space="preserve"> тис. грн</w:t>
      </w:r>
    </w:p>
    <w:tbl>
      <w:tblPr>
        <w:tblStyle w:val="a4"/>
        <w:tblW w:w="14673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2551"/>
        <w:gridCol w:w="2410"/>
        <w:gridCol w:w="1414"/>
        <w:gridCol w:w="854"/>
        <w:gridCol w:w="2487"/>
      </w:tblGrid>
      <w:tr w:rsidR="00147D83" w:rsidRPr="00147D83" w:rsidTr="00383557">
        <w:tc>
          <w:tcPr>
            <w:tcW w:w="2547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Напрям</w:t>
            </w:r>
            <w:proofErr w:type="spellEnd"/>
          </w:p>
        </w:tc>
        <w:tc>
          <w:tcPr>
            <w:tcW w:w="2410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Діючі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проекти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2551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Підсектор</w:t>
            </w:r>
            <w:proofErr w:type="spellEnd"/>
          </w:p>
        </w:tc>
        <w:tc>
          <w:tcPr>
            <w:tcW w:w="2410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Цільовий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показник</w:t>
            </w:r>
            <w:proofErr w:type="spellEnd"/>
          </w:p>
        </w:tc>
        <w:tc>
          <w:tcPr>
            <w:tcW w:w="1414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Базове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значення</w:t>
            </w:r>
            <w:proofErr w:type="spellEnd"/>
          </w:p>
        </w:tc>
        <w:tc>
          <w:tcPr>
            <w:tcW w:w="854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Ціль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2028</w:t>
            </w:r>
          </w:p>
        </w:tc>
        <w:tc>
          <w:tcPr>
            <w:tcW w:w="2487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Стратегія</w:t>
            </w:r>
            <w:proofErr w:type="spellEnd"/>
          </w:p>
        </w:tc>
      </w:tr>
      <w:tr w:rsidR="00147D83" w:rsidRPr="00147D83" w:rsidTr="00383557">
        <w:trPr>
          <w:trHeight w:val="432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Відновлення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7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 w:rsidRPr="00147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модернізація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інфраструктури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централізованого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водопостачання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водовідведення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в тому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впровадженням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альтернативних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джерел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енергії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7D8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ІІІ»</w:t>
            </w: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Нове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будівництво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каналізаційної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Водопостачання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водовідведення</w:t>
            </w:r>
            <w:proofErr w:type="spellEnd"/>
          </w:p>
        </w:tc>
        <w:tc>
          <w:tcPr>
            <w:tcW w:w="2410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Протяжність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побудованих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мереж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водовідведення</w:t>
            </w:r>
            <w:proofErr w:type="spellEnd"/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(км.)</w:t>
            </w: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централізованим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водовідведенням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4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24 709</w:t>
            </w:r>
          </w:p>
        </w:tc>
        <w:tc>
          <w:tcPr>
            <w:tcW w:w="854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1,441</w:t>
            </w: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4 780</w:t>
            </w:r>
          </w:p>
        </w:tc>
        <w:tc>
          <w:tcPr>
            <w:tcW w:w="2487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Державна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стратегія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регіонального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на 2021-</w:t>
            </w:r>
            <w:r w:rsidRPr="00147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2027 роки,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Стратегія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Звягельської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на 2024-2030 роки.</w:t>
            </w:r>
          </w:p>
        </w:tc>
      </w:tr>
      <w:tr w:rsidR="00147D83" w:rsidRPr="00147D83" w:rsidTr="00383557">
        <w:trPr>
          <w:trHeight w:val="3851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Нове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будівництво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водопровідної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Водопостачання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водовідведення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Протяжність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побудованих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мереж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водовідведення</w:t>
            </w:r>
            <w:proofErr w:type="spellEnd"/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(км.)</w:t>
            </w: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централізованим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водопостачанням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40 982</w:t>
            </w: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0,795</w:t>
            </w: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2 800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Державна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стратегія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регіонального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на 2021-</w:t>
            </w:r>
            <w:r w:rsidRPr="00147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2027 роки,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Стратегія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Звягельської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на 2024-2030 роки</w:t>
            </w: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7D83" w:rsidRPr="00147D83" w:rsidRDefault="00147D83" w:rsidP="00147D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D83" w:rsidRPr="00147D83" w:rsidRDefault="00147D83" w:rsidP="00147D83">
      <w:pPr>
        <w:spacing w:after="0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D83"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</w:p>
    <w:p w:rsidR="00147D83" w:rsidRPr="00147D83" w:rsidRDefault="00147D83" w:rsidP="00147D83">
      <w:pPr>
        <w:spacing w:after="0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147D83">
        <w:rPr>
          <w:rFonts w:ascii="Times New Roman" w:hAnsi="Times New Roman" w:cs="Times New Roman"/>
          <w:sz w:val="28"/>
          <w:szCs w:val="28"/>
        </w:rPr>
        <w:t xml:space="preserve">до Середньострокового плану пріоритетних публічних інвестицій </w:t>
      </w:r>
    </w:p>
    <w:p w:rsidR="00147D83" w:rsidRPr="00147D83" w:rsidRDefault="00147D83" w:rsidP="00147D83">
      <w:pPr>
        <w:spacing w:after="0"/>
        <w:ind w:left="9204"/>
        <w:jc w:val="both"/>
        <w:rPr>
          <w:rFonts w:ascii="Times New Roman" w:hAnsi="Times New Roman" w:cs="Times New Roman"/>
          <w:sz w:val="28"/>
          <w:szCs w:val="28"/>
        </w:rPr>
      </w:pPr>
      <w:r w:rsidRPr="00147D83">
        <w:rPr>
          <w:rFonts w:ascii="Times New Roman" w:hAnsi="Times New Roman" w:cs="Times New Roman"/>
          <w:sz w:val="28"/>
          <w:szCs w:val="28"/>
        </w:rPr>
        <w:t xml:space="preserve"> </w:t>
      </w:r>
      <w:r w:rsidRPr="00147D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7D83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Pr="00147D83">
        <w:rPr>
          <w:rFonts w:ascii="Times New Roman" w:hAnsi="Times New Roman" w:cs="Times New Roman"/>
          <w:sz w:val="28"/>
          <w:szCs w:val="28"/>
        </w:rPr>
        <w:t xml:space="preserve"> міської територіальної </w:t>
      </w:r>
    </w:p>
    <w:p w:rsidR="00147D83" w:rsidRPr="00147D83" w:rsidRDefault="00147D83" w:rsidP="00147D83">
      <w:pPr>
        <w:spacing w:after="0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147D83">
        <w:rPr>
          <w:rFonts w:ascii="Times New Roman" w:hAnsi="Times New Roman" w:cs="Times New Roman"/>
          <w:sz w:val="28"/>
          <w:szCs w:val="28"/>
        </w:rPr>
        <w:t>громади  на 2026 -2028 роки</w:t>
      </w:r>
    </w:p>
    <w:p w:rsidR="00147D83" w:rsidRPr="00147D83" w:rsidRDefault="00147D83" w:rsidP="00147D8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D83">
        <w:rPr>
          <w:rFonts w:ascii="Times New Roman" w:hAnsi="Times New Roman" w:cs="Times New Roman"/>
          <w:b/>
          <w:sz w:val="28"/>
          <w:szCs w:val="28"/>
        </w:rPr>
        <w:t>Напрямки публічного інвестування</w:t>
      </w:r>
      <w:r w:rsidRPr="00147D83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147D83" w:rsidRPr="00147D83" w:rsidRDefault="00147D83" w:rsidP="00147D83">
      <w:pPr>
        <w:rPr>
          <w:rFonts w:ascii="Times New Roman" w:hAnsi="Times New Roman" w:cs="Times New Roman"/>
          <w:b/>
          <w:sz w:val="28"/>
          <w:szCs w:val="28"/>
        </w:rPr>
      </w:pPr>
      <w:r w:rsidRPr="00147D83">
        <w:rPr>
          <w:rFonts w:ascii="Times New Roman" w:hAnsi="Times New Roman" w:cs="Times New Roman"/>
          <w:sz w:val="28"/>
          <w:szCs w:val="28"/>
        </w:rPr>
        <w:t xml:space="preserve">Галузь(сектор) для публічного інвестування – </w:t>
      </w:r>
      <w:r w:rsidRPr="00147D83">
        <w:rPr>
          <w:rFonts w:ascii="Times New Roman" w:hAnsi="Times New Roman" w:cs="Times New Roman"/>
          <w:b/>
          <w:bCs/>
          <w:sz w:val="28"/>
          <w:szCs w:val="28"/>
        </w:rPr>
        <w:t>Освіта і наука</w:t>
      </w:r>
      <w:r w:rsidRPr="00147D8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47D83">
        <w:rPr>
          <w:rFonts w:ascii="Times New Roman" w:hAnsi="Times New Roman" w:cs="Times New Roman"/>
          <w:sz w:val="28"/>
          <w:szCs w:val="28"/>
        </w:rPr>
        <w:t xml:space="preserve">Структурний підрозділ, відповідальний  за галузь (сектор) для публічного інвестування – Управління освіти і науки </w:t>
      </w:r>
      <w:proofErr w:type="spellStart"/>
      <w:r w:rsidRPr="00147D83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Pr="00147D83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tbl>
      <w:tblPr>
        <w:tblStyle w:val="a4"/>
        <w:tblW w:w="13603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3119"/>
        <w:gridCol w:w="1134"/>
        <w:gridCol w:w="850"/>
        <w:gridCol w:w="2268"/>
      </w:tblGrid>
      <w:tr w:rsidR="00147D83" w:rsidRPr="00147D83" w:rsidTr="00383557">
        <w:tc>
          <w:tcPr>
            <w:tcW w:w="3539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Напрям</w:t>
            </w:r>
            <w:proofErr w:type="spellEnd"/>
          </w:p>
        </w:tc>
        <w:tc>
          <w:tcPr>
            <w:tcW w:w="2693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Підсектор</w:t>
            </w:r>
            <w:proofErr w:type="spellEnd"/>
          </w:p>
        </w:tc>
        <w:tc>
          <w:tcPr>
            <w:tcW w:w="3119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Цільовий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показник</w:t>
            </w:r>
            <w:proofErr w:type="spellEnd"/>
          </w:p>
        </w:tc>
        <w:tc>
          <w:tcPr>
            <w:tcW w:w="1134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Базове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значення</w:t>
            </w:r>
            <w:proofErr w:type="spellEnd"/>
          </w:p>
        </w:tc>
        <w:tc>
          <w:tcPr>
            <w:tcW w:w="850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Ціль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2028</w:t>
            </w:r>
          </w:p>
        </w:tc>
        <w:tc>
          <w:tcPr>
            <w:tcW w:w="2268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Стратегія</w:t>
            </w:r>
            <w:proofErr w:type="spellEnd"/>
          </w:p>
        </w:tc>
      </w:tr>
      <w:tr w:rsidR="00147D83" w:rsidRPr="00147D83" w:rsidTr="00383557">
        <w:tc>
          <w:tcPr>
            <w:tcW w:w="3539" w:type="dxa"/>
          </w:tcPr>
          <w:p w:rsidR="00147D83" w:rsidRPr="00147D83" w:rsidRDefault="00147D83" w:rsidP="00147D83">
            <w:pPr>
              <w:widowControl w:val="0"/>
              <w:tabs>
                <w:tab w:val="left" w:pos="2499"/>
                <w:tab w:val="left" w:pos="3586"/>
              </w:tabs>
              <w:autoSpaceDE w:val="0"/>
              <w:autoSpaceDN w:val="0"/>
              <w:spacing w:before="23"/>
              <w:ind w:left="45" w:right="2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Модернізація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інфраструктури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закладів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загальної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середньої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освіти</w:t>
            </w:r>
            <w:proofErr w:type="spellEnd"/>
          </w:p>
        </w:tc>
        <w:tc>
          <w:tcPr>
            <w:tcW w:w="2693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3"/>
              <w:ind w:left="42" w:right="2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Шкільна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освіта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19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3"/>
              <w:ind w:left="17" w:right="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Кількість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здобувачів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освіти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які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отримали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послугу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осіб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134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3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47D83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850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line="321" w:lineRule="exact"/>
              <w:ind w:left="3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47D83"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2268" w:type="dxa"/>
          </w:tcPr>
          <w:p w:rsidR="00147D83" w:rsidRPr="00147D83" w:rsidRDefault="00147D83" w:rsidP="00147D83">
            <w:pPr>
              <w:widowControl w:val="0"/>
              <w:tabs>
                <w:tab w:val="left" w:pos="1388"/>
                <w:tab w:val="left" w:pos="1521"/>
                <w:tab w:val="left" w:pos="1944"/>
              </w:tabs>
              <w:autoSpaceDE w:val="0"/>
              <w:autoSpaceDN w:val="0"/>
              <w:spacing w:before="23"/>
              <w:ind w:left="39" w:right="2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Державна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стратегія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регіонального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розвитку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на 2021 -2027 роки </w:t>
            </w:r>
          </w:p>
        </w:tc>
      </w:tr>
      <w:tr w:rsidR="00147D83" w:rsidRPr="00147D83" w:rsidTr="00383557">
        <w:tc>
          <w:tcPr>
            <w:tcW w:w="3539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1" w:line="256" w:lineRule="auto"/>
              <w:ind w:left="4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Забезпечення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147D83">
              <w:rPr>
                <w:rFonts w:ascii="Times New Roman" w:eastAsia="Times New Roman" w:hAnsi="Times New Roman" w:cs="Times New Roman"/>
                <w:sz w:val="28"/>
              </w:rPr>
              <w:t>доступу</w:t>
            </w:r>
            <w:r w:rsidRPr="00147D83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r w:rsidRPr="00147D83">
              <w:rPr>
                <w:rFonts w:ascii="Times New Roman" w:eastAsia="Times New Roman" w:hAnsi="Times New Roman" w:cs="Times New Roman"/>
                <w:sz w:val="28"/>
              </w:rPr>
              <w:t>до</w:t>
            </w:r>
            <w:r w:rsidRPr="00147D83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якісного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 xml:space="preserve"> та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безпечного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харчування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 xml:space="preserve"> у</w:t>
            </w:r>
          </w:p>
          <w:p w:rsidR="00147D83" w:rsidRPr="00147D83" w:rsidRDefault="00147D83" w:rsidP="00147D83">
            <w:pPr>
              <w:widowControl w:val="0"/>
              <w:tabs>
                <w:tab w:val="left" w:pos="2499"/>
                <w:tab w:val="left" w:pos="3586"/>
              </w:tabs>
              <w:autoSpaceDE w:val="0"/>
              <w:autoSpaceDN w:val="0"/>
              <w:spacing w:before="23"/>
              <w:ind w:left="45" w:right="22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147D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закладах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освіти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шляхом</w:t>
            </w:r>
            <w:r w:rsidRPr="00147D83"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розвитку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eastAsia="ru-RU"/>
              </w:rPr>
              <w:t>сучасної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eastAsia="ru-RU"/>
              </w:rPr>
              <w:t>інфраструктури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eastAsia="ru-RU"/>
              </w:rPr>
              <w:t>їдалень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eastAsia="ru-RU"/>
              </w:rPr>
              <w:t xml:space="preserve"> (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eastAsia="ru-RU"/>
              </w:rPr>
              <w:t>харчоблоків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2693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3"/>
              <w:ind w:left="42" w:right="2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Шкільна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освіта</w:t>
            </w:r>
            <w:proofErr w:type="spellEnd"/>
          </w:p>
        </w:tc>
        <w:tc>
          <w:tcPr>
            <w:tcW w:w="3119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1" w:line="256" w:lineRule="auto"/>
              <w:ind w:left="4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Кількість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дітей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які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отримали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 xml:space="preserve"> доступ до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якісного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гарячого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харчування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r w:rsidRPr="00147D83">
              <w:rPr>
                <w:rFonts w:ascii="Times New Roman" w:eastAsia="Times New Roman" w:hAnsi="Times New Roman" w:cs="Times New Roman"/>
                <w:sz w:val="28"/>
              </w:rPr>
              <w:t>у</w:t>
            </w:r>
            <w:r w:rsidRPr="00147D83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модернізованих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їдальнях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харчоблоках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"/>
              <w:ind w:left="4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закладів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освіти</w:t>
            </w:r>
            <w:proofErr w:type="spellEnd"/>
          </w:p>
        </w:tc>
        <w:tc>
          <w:tcPr>
            <w:tcW w:w="1134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1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r w:rsidRPr="00147D83">
              <w:rPr>
                <w:rFonts w:ascii="Times New Roman" w:eastAsia="Times New Roman" w:hAnsi="Times New Roman" w:cs="Times New Roman"/>
                <w:spacing w:val="-10"/>
                <w:sz w:val="28"/>
              </w:rPr>
              <w:t>0</w:t>
            </w:r>
          </w:p>
        </w:tc>
        <w:tc>
          <w:tcPr>
            <w:tcW w:w="850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1"/>
              <w:ind w:left="41"/>
              <w:rPr>
                <w:rFonts w:ascii="Times New Roman" w:eastAsia="Times New Roman" w:hAnsi="Times New Roman" w:cs="Times New Roman"/>
                <w:sz w:val="28"/>
              </w:rPr>
            </w:pPr>
            <w:r w:rsidRPr="00147D83">
              <w:rPr>
                <w:rFonts w:ascii="Times New Roman" w:eastAsia="Times New Roman" w:hAnsi="Times New Roman" w:cs="Times New Roman"/>
                <w:spacing w:val="-5"/>
                <w:sz w:val="28"/>
              </w:rPr>
              <w:t>260</w:t>
            </w:r>
          </w:p>
        </w:tc>
        <w:tc>
          <w:tcPr>
            <w:tcW w:w="2268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1"/>
              <w:ind w:left="3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Стратегія</w:t>
            </w:r>
            <w:proofErr w:type="spellEnd"/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7" w:line="256" w:lineRule="auto"/>
              <w:ind w:left="3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реформування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системи</w:t>
            </w:r>
            <w:proofErr w:type="spellEnd"/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spacing w:line="256" w:lineRule="auto"/>
              <w:ind w:left="38" w:right="23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шкільного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харчування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 xml:space="preserve"> на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період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r w:rsidRPr="00147D83">
              <w:rPr>
                <w:rFonts w:ascii="Times New Roman" w:eastAsia="Times New Roman" w:hAnsi="Times New Roman" w:cs="Times New Roman"/>
                <w:sz w:val="28"/>
              </w:rPr>
              <w:t>до</w:t>
            </w:r>
            <w:r w:rsidRPr="00147D83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r w:rsidRPr="00147D83">
              <w:rPr>
                <w:rFonts w:ascii="Times New Roman" w:eastAsia="Times New Roman" w:hAnsi="Times New Roman" w:cs="Times New Roman"/>
                <w:sz w:val="28"/>
              </w:rPr>
              <w:t xml:space="preserve">2027 </w:t>
            </w:r>
            <w:r w:rsidRPr="00147D83">
              <w:rPr>
                <w:rFonts w:ascii="Times New Roman" w:eastAsia="Times New Roman" w:hAnsi="Times New Roman" w:cs="Times New Roman"/>
                <w:spacing w:val="-4"/>
                <w:sz w:val="28"/>
              </w:rPr>
              <w:t>року</w:t>
            </w:r>
          </w:p>
        </w:tc>
      </w:tr>
    </w:tbl>
    <w:p w:rsidR="00147D83" w:rsidRPr="00147D83" w:rsidRDefault="00147D83" w:rsidP="00147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D83" w:rsidRPr="00147D83" w:rsidRDefault="00147D83" w:rsidP="00147D83">
      <w:pPr>
        <w:rPr>
          <w:rFonts w:ascii="Times New Roman" w:hAnsi="Times New Roman" w:cs="Times New Roman"/>
          <w:sz w:val="28"/>
          <w:szCs w:val="28"/>
        </w:rPr>
      </w:pPr>
      <w:r w:rsidRPr="00147D83">
        <w:rPr>
          <w:rFonts w:ascii="Times New Roman" w:hAnsi="Times New Roman" w:cs="Times New Roman"/>
          <w:sz w:val="28"/>
          <w:szCs w:val="28"/>
        </w:rPr>
        <w:lastRenderedPageBreak/>
        <w:t xml:space="preserve">Галузь(сектор) для публічного інвестування – </w:t>
      </w:r>
      <w:r w:rsidRPr="00147D83">
        <w:rPr>
          <w:rFonts w:ascii="Times New Roman" w:hAnsi="Times New Roman" w:cs="Times New Roman"/>
          <w:b/>
          <w:bCs/>
          <w:sz w:val="28"/>
          <w:szCs w:val="28"/>
        </w:rPr>
        <w:t>Соціальна сфера</w:t>
      </w:r>
      <w:r w:rsidRPr="00147D8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47D83">
        <w:rPr>
          <w:rFonts w:ascii="Times New Roman" w:hAnsi="Times New Roman" w:cs="Times New Roman"/>
          <w:sz w:val="28"/>
          <w:szCs w:val="28"/>
        </w:rPr>
        <w:t xml:space="preserve">Структурний підрозділ, відповідальний  за галузь (сектор) для публічного інвестування – Управління соціального захисту населення </w:t>
      </w:r>
      <w:proofErr w:type="spellStart"/>
      <w:r w:rsidRPr="00147D83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Pr="00147D83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147D83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13887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3261"/>
        <w:gridCol w:w="992"/>
        <w:gridCol w:w="850"/>
        <w:gridCol w:w="2552"/>
      </w:tblGrid>
      <w:tr w:rsidR="00147D83" w:rsidRPr="00147D83" w:rsidTr="00383557">
        <w:tc>
          <w:tcPr>
            <w:tcW w:w="3539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Напрям</w:t>
            </w:r>
            <w:proofErr w:type="spellEnd"/>
          </w:p>
        </w:tc>
        <w:tc>
          <w:tcPr>
            <w:tcW w:w="2693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Підсектор</w:t>
            </w:r>
            <w:proofErr w:type="spellEnd"/>
          </w:p>
        </w:tc>
        <w:tc>
          <w:tcPr>
            <w:tcW w:w="3261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Цільовий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показник</w:t>
            </w:r>
            <w:proofErr w:type="spellEnd"/>
          </w:p>
        </w:tc>
        <w:tc>
          <w:tcPr>
            <w:tcW w:w="992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Базове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значення</w:t>
            </w:r>
            <w:proofErr w:type="spellEnd"/>
          </w:p>
        </w:tc>
        <w:tc>
          <w:tcPr>
            <w:tcW w:w="850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Ціль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2028</w:t>
            </w:r>
          </w:p>
        </w:tc>
        <w:tc>
          <w:tcPr>
            <w:tcW w:w="2552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Стратегія</w:t>
            </w:r>
            <w:proofErr w:type="spellEnd"/>
          </w:p>
        </w:tc>
      </w:tr>
      <w:tr w:rsidR="00147D83" w:rsidRPr="00147D83" w:rsidTr="00383557">
        <w:tc>
          <w:tcPr>
            <w:tcW w:w="3539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догляду за людьми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похилого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віку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та особами з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інвалідністю</w:t>
            </w:r>
            <w:proofErr w:type="spellEnd"/>
          </w:p>
        </w:tc>
        <w:tc>
          <w:tcPr>
            <w:tcW w:w="2693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Стаціонарні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заклади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догляду </w:t>
            </w:r>
          </w:p>
        </w:tc>
        <w:tc>
          <w:tcPr>
            <w:tcW w:w="3261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створених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місць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у закладах</w:t>
            </w:r>
            <w:proofErr w:type="gram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догляду (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Стратегія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Звягельської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на 2024-2030 роки</w:t>
            </w:r>
          </w:p>
        </w:tc>
      </w:tr>
      <w:tr w:rsidR="00147D83" w:rsidRPr="00147D83" w:rsidTr="00383557">
        <w:trPr>
          <w:trHeight w:val="2160"/>
        </w:trPr>
        <w:tc>
          <w:tcPr>
            <w:tcW w:w="3539" w:type="dxa"/>
            <w:vMerge w:val="restart"/>
          </w:tcPr>
          <w:p w:rsidR="00147D83" w:rsidRPr="00FE6E77" w:rsidRDefault="00147D83" w:rsidP="00147D83">
            <w:pPr>
              <w:widowControl w:val="0"/>
              <w:autoSpaceDE w:val="0"/>
              <w:autoSpaceDN w:val="0"/>
              <w:spacing w:before="21"/>
              <w:ind w:left="45" w:right="22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</w:pPr>
            <w:r w:rsidRPr="00FE6E77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Забезпечення житлом дітей-сиріт, дітей, позбавлених батьківського </w:t>
            </w:r>
            <w:r w:rsidRPr="00FE6E77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піклування та осіб з інвалідністю.</w:t>
            </w:r>
          </w:p>
          <w:p w:rsidR="00147D83" w:rsidRPr="00FE6E77" w:rsidRDefault="00147D83" w:rsidP="00147D83">
            <w:pPr>
              <w:widowControl w:val="0"/>
              <w:autoSpaceDE w:val="0"/>
              <w:autoSpaceDN w:val="0"/>
              <w:spacing w:before="21"/>
              <w:ind w:left="45" w:right="22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</w:pPr>
          </w:p>
          <w:p w:rsidR="00147D83" w:rsidRPr="00FE6E77" w:rsidRDefault="00147D83" w:rsidP="00147D83">
            <w:pPr>
              <w:widowControl w:val="0"/>
              <w:autoSpaceDE w:val="0"/>
              <w:autoSpaceDN w:val="0"/>
              <w:spacing w:before="21"/>
              <w:ind w:left="45" w:right="22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FE6E77">
              <w:rPr>
                <w:rFonts w:ascii="Times New Roman" w:eastAsia="Times New Roman" w:hAnsi="Times New Roman" w:cs="Times New Roman"/>
                <w:sz w:val="28"/>
                <w:lang w:val="uk-UA"/>
              </w:rPr>
              <w:lastRenderedPageBreak/>
              <w:t>Реалізація публічного інвестиційного проекту із виплати грошової компенсації за належні для отримання жилі приміщення для сімей осіб, визначених пунктами 2–5 частини першої статті 10-1 Закону України «Про статус ветеранів війни, гарантії їх соціального захист»</w:t>
            </w:r>
          </w:p>
        </w:tc>
        <w:tc>
          <w:tcPr>
            <w:tcW w:w="2693" w:type="dxa"/>
          </w:tcPr>
          <w:p w:rsidR="00147D83" w:rsidRPr="00147D83" w:rsidRDefault="00147D83" w:rsidP="00147D83">
            <w:pPr>
              <w:widowControl w:val="0"/>
              <w:tabs>
                <w:tab w:val="left" w:pos="989"/>
                <w:tab w:val="left" w:pos="1459"/>
              </w:tabs>
              <w:autoSpaceDE w:val="0"/>
              <w:autoSpaceDN w:val="0"/>
              <w:spacing w:before="21" w:line="242" w:lineRule="auto"/>
              <w:ind w:left="42" w:right="2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lastRenderedPageBreak/>
              <w:t>Права</w:t>
            </w:r>
            <w:r w:rsidRPr="00147D83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147D83">
              <w:rPr>
                <w:rFonts w:ascii="Times New Roman" w:eastAsia="Times New Roman" w:hAnsi="Times New Roman" w:cs="Times New Roman"/>
                <w:spacing w:val="-6"/>
                <w:sz w:val="28"/>
              </w:rPr>
              <w:t>та</w:t>
            </w:r>
            <w:r w:rsidRPr="00147D8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інтереси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дітей</w:t>
            </w:r>
            <w:proofErr w:type="spellEnd"/>
          </w:p>
        </w:tc>
        <w:tc>
          <w:tcPr>
            <w:tcW w:w="3261" w:type="dxa"/>
          </w:tcPr>
          <w:p w:rsidR="00147D83" w:rsidRPr="00147D83" w:rsidRDefault="00147D83" w:rsidP="00147D83">
            <w:pPr>
              <w:widowControl w:val="0"/>
              <w:tabs>
                <w:tab w:val="left" w:pos="1510"/>
                <w:tab w:val="left" w:pos="1618"/>
                <w:tab w:val="left" w:pos="2455"/>
              </w:tabs>
              <w:autoSpaceDE w:val="0"/>
              <w:autoSpaceDN w:val="0"/>
              <w:spacing w:before="21"/>
              <w:ind w:left="42" w:right="2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Кількість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147D83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дітей-сиріт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,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дітей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позбавлених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батьківського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піклування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,</w:t>
            </w:r>
            <w:r w:rsidRPr="00147D83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pacing w:val="-4"/>
                <w:sz w:val="28"/>
              </w:rPr>
              <w:t>яких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забезпечено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житлом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осіб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992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1"/>
              <w:ind w:left="19" w:right="4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47D83">
              <w:rPr>
                <w:rFonts w:ascii="Times New Roman" w:eastAsia="Times New Roman" w:hAnsi="Times New Roman" w:cs="Times New Roman"/>
                <w:sz w:val="28"/>
                <w:lang w:val="en-US"/>
              </w:rPr>
              <w:t>12</w:t>
            </w:r>
          </w:p>
        </w:tc>
        <w:tc>
          <w:tcPr>
            <w:tcW w:w="850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1"/>
              <w:ind w:left="25" w:right="6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47D83">
              <w:rPr>
                <w:rFonts w:ascii="Times New Roman" w:eastAsia="Times New Roman" w:hAnsi="Times New Roman" w:cs="Times New Roman"/>
                <w:sz w:val="28"/>
                <w:lang w:val="en-US"/>
              </w:rPr>
              <w:t>9</w:t>
            </w:r>
          </w:p>
        </w:tc>
        <w:tc>
          <w:tcPr>
            <w:tcW w:w="2552" w:type="dxa"/>
            <w:vMerge w:val="restart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Стратегія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забезпечення</w:t>
            </w:r>
            <w:proofErr w:type="spellEnd"/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ind w:left="44" w:right="2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47D83">
              <w:rPr>
                <w:rFonts w:ascii="Times New Roman" w:eastAsia="Times New Roman" w:hAnsi="Times New Roman" w:cs="Times New Roman"/>
                <w:sz w:val="28"/>
              </w:rPr>
              <w:t xml:space="preserve">права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кожної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дитини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 xml:space="preserve"> в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Україні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 xml:space="preserve"> на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t>зростання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z w:val="28"/>
              </w:rPr>
              <w:t xml:space="preserve"> в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сімейному</w:t>
            </w:r>
            <w:proofErr w:type="spellEnd"/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spacing w:line="320" w:lineRule="exact"/>
              <w:ind w:left="4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47D83">
              <w:rPr>
                <w:rFonts w:ascii="Times New Roman" w:eastAsia="Times New Roman" w:hAnsi="Times New Roman" w:cs="Times New Roman"/>
                <w:sz w:val="28"/>
              </w:rPr>
              <w:lastRenderedPageBreak/>
              <w:t>оточенні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32"/>
                <w:sz w:val="28"/>
              </w:rPr>
              <w:t xml:space="preserve"> </w:t>
            </w:r>
            <w:r w:rsidRPr="00147D83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147D83">
              <w:rPr>
                <w:rFonts w:ascii="Times New Roman" w:eastAsia="Times New Roman" w:hAnsi="Times New Roman" w:cs="Times New Roman"/>
                <w:spacing w:val="34"/>
                <w:sz w:val="28"/>
              </w:rPr>
              <w:t xml:space="preserve"> </w:t>
            </w:r>
            <w:r w:rsidRPr="00147D83">
              <w:rPr>
                <w:rFonts w:ascii="Times New Roman" w:eastAsia="Times New Roman" w:hAnsi="Times New Roman" w:cs="Times New Roman"/>
                <w:spacing w:val="-4"/>
                <w:sz w:val="28"/>
              </w:rPr>
              <w:t>2024-</w:t>
            </w: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ind w:left="44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 w:rsidRPr="00147D83">
              <w:rPr>
                <w:rFonts w:ascii="Times New Roman" w:eastAsia="Times New Roman" w:hAnsi="Times New Roman" w:cs="Times New Roman"/>
                <w:sz w:val="28"/>
              </w:rPr>
              <w:t>2028</w:t>
            </w:r>
            <w:r w:rsidRPr="00147D83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147D83">
              <w:rPr>
                <w:rFonts w:ascii="Times New Roman" w:eastAsia="Times New Roman" w:hAnsi="Times New Roman" w:cs="Times New Roman"/>
                <w:spacing w:val="-4"/>
                <w:sz w:val="28"/>
              </w:rPr>
              <w:t>роки</w:t>
            </w: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ind w:left="44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 w:rsidRPr="00147D83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Постанова КМУ №719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pacing w:val="-4"/>
                <w:sz w:val="28"/>
              </w:rPr>
              <w:t>від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19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pacing w:val="-4"/>
                <w:sz w:val="28"/>
              </w:rPr>
              <w:t>жовтня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2016 р.</w:t>
            </w:r>
          </w:p>
          <w:p w:rsidR="00147D83" w:rsidRPr="00147D83" w:rsidRDefault="00147D83" w:rsidP="00147D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</w:p>
        </w:tc>
      </w:tr>
      <w:tr w:rsidR="00147D83" w:rsidRPr="00147D83" w:rsidTr="00383557">
        <w:trPr>
          <w:trHeight w:val="2355"/>
        </w:trPr>
        <w:tc>
          <w:tcPr>
            <w:tcW w:w="3539" w:type="dxa"/>
            <w:vMerge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1"/>
              <w:ind w:left="45" w:right="2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147D83" w:rsidRPr="00147D83" w:rsidRDefault="00147D83" w:rsidP="00147D83">
            <w:pPr>
              <w:widowControl w:val="0"/>
              <w:tabs>
                <w:tab w:val="left" w:pos="989"/>
                <w:tab w:val="left" w:pos="1459"/>
              </w:tabs>
              <w:autoSpaceDE w:val="0"/>
              <w:autoSpaceDN w:val="0"/>
              <w:spacing w:before="21" w:line="242" w:lineRule="auto"/>
              <w:ind w:left="42" w:right="24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Права та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інтереси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осіб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з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інвалідністю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</w:p>
        </w:tc>
        <w:tc>
          <w:tcPr>
            <w:tcW w:w="3261" w:type="dxa"/>
          </w:tcPr>
          <w:p w:rsidR="00147D83" w:rsidRPr="00147D83" w:rsidRDefault="00147D83" w:rsidP="00147D83">
            <w:pPr>
              <w:widowControl w:val="0"/>
              <w:tabs>
                <w:tab w:val="left" w:pos="1510"/>
                <w:tab w:val="left" w:pos="1618"/>
                <w:tab w:val="left" w:pos="2455"/>
              </w:tabs>
              <w:autoSpaceDE w:val="0"/>
              <w:autoSpaceDN w:val="0"/>
              <w:spacing w:before="21"/>
              <w:ind w:left="42" w:right="23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Кількість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осіб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з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інвалідністю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,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яких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забезпечено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житлом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(</w:t>
            </w:r>
            <w:proofErr w:type="spellStart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>осіб</w:t>
            </w:r>
            <w:proofErr w:type="spellEnd"/>
            <w:r w:rsidRPr="00147D8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.) </w:t>
            </w:r>
          </w:p>
        </w:tc>
        <w:tc>
          <w:tcPr>
            <w:tcW w:w="992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1"/>
              <w:ind w:left="19"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47D83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850" w:type="dxa"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1"/>
              <w:ind w:left="25" w:righ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47D83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2552" w:type="dxa"/>
            <w:vMerge/>
          </w:tcPr>
          <w:p w:rsidR="00147D83" w:rsidRPr="00147D83" w:rsidRDefault="00147D83" w:rsidP="00147D83">
            <w:pPr>
              <w:widowControl w:val="0"/>
              <w:autoSpaceDE w:val="0"/>
              <w:autoSpaceDN w:val="0"/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</w:p>
        </w:tc>
      </w:tr>
    </w:tbl>
    <w:p w:rsidR="00147D83" w:rsidRPr="00147D83" w:rsidRDefault="00147D83" w:rsidP="00147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D83" w:rsidRPr="00147D83" w:rsidRDefault="00147D83" w:rsidP="0014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D83">
        <w:rPr>
          <w:rFonts w:ascii="Times New Roman" w:hAnsi="Times New Roman" w:cs="Times New Roman"/>
          <w:sz w:val="28"/>
          <w:szCs w:val="28"/>
        </w:rPr>
        <w:t xml:space="preserve">Галузь (сектор) для публічного інвестування – </w:t>
      </w:r>
      <w:r w:rsidRPr="00147D83">
        <w:rPr>
          <w:rFonts w:ascii="Times New Roman" w:hAnsi="Times New Roman" w:cs="Times New Roman"/>
          <w:b/>
          <w:sz w:val="28"/>
          <w:szCs w:val="28"/>
        </w:rPr>
        <w:t>Муніципальна інфраструктура та послуги</w:t>
      </w:r>
      <w:r w:rsidRPr="00147D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7D83" w:rsidRPr="00147D83" w:rsidRDefault="00147D83" w:rsidP="0014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D83">
        <w:rPr>
          <w:rFonts w:ascii="Times New Roman" w:hAnsi="Times New Roman" w:cs="Times New Roman"/>
          <w:sz w:val="28"/>
          <w:szCs w:val="28"/>
        </w:rPr>
        <w:t xml:space="preserve">Структурний підрозділ, відповідальний за галузь (сектор) для публічного інвестування – Управління житлово-комунального господарства і екології </w:t>
      </w:r>
      <w:proofErr w:type="spellStart"/>
      <w:r w:rsidRPr="00147D83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Pr="00147D83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147D83" w:rsidRPr="00147D83" w:rsidRDefault="00147D83" w:rsidP="00147D8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3887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3119"/>
        <w:gridCol w:w="1134"/>
        <w:gridCol w:w="992"/>
        <w:gridCol w:w="2410"/>
      </w:tblGrid>
      <w:tr w:rsidR="00147D83" w:rsidRPr="00147D83" w:rsidTr="00383557">
        <w:tc>
          <w:tcPr>
            <w:tcW w:w="3539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Напрям</w:t>
            </w:r>
            <w:proofErr w:type="spellEnd"/>
          </w:p>
        </w:tc>
        <w:tc>
          <w:tcPr>
            <w:tcW w:w="2693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Підсектор</w:t>
            </w:r>
            <w:proofErr w:type="spellEnd"/>
          </w:p>
        </w:tc>
        <w:tc>
          <w:tcPr>
            <w:tcW w:w="3119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Цільовий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показник</w:t>
            </w:r>
            <w:proofErr w:type="spellEnd"/>
          </w:p>
        </w:tc>
        <w:tc>
          <w:tcPr>
            <w:tcW w:w="1134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Базове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значення</w:t>
            </w:r>
            <w:proofErr w:type="spellEnd"/>
          </w:p>
        </w:tc>
        <w:tc>
          <w:tcPr>
            <w:tcW w:w="992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Ціль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2028</w:t>
            </w:r>
          </w:p>
        </w:tc>
        <w:tc>
          <w:tcPr>
            <w:tcW w:w="2410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Стратегія</w:t>
            </w:r>
            <w:proofErr w:type="spellEnd"/>
          </w:p>
        </w:tc>
      </w:tr>
      <w:tr w:rsidR="00147D83" w:rsidRPr="00147D83" w:rsidTr="00383557">
        <w:tc>
          <w:tcPr>
            <w:tcW w:w="3539" w:type="dxa"/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Створення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нової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інженерної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інфраструктури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розбудови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житлового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сектору</w:t>
            </w: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Водопостачання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водовідведення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Кількість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реконструйованих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відремонтованих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об’єктів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водопостачання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водовідведення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83" w:rsidRPr="00147D83" w:rsidRDefault="00147D83" w:rsidP="0014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47D83" w:rsidRPr="00147D83" w:rsidRDefault="00147D83" w:rsidP="0014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83" w:rsidRPr="00147D83" w:rsidRDefault="00147D83" w:rsidP="0014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Державна</w:t>
            </w:r>
            <w:proofErr w:type="spellEnd"/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стратегія</w:t>
            </w:r>
            <w:proofErr w:type="spellEnd"/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регіонального</w:t>
            </w:r>
            <w:proofErr w:type="spellEnd"/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на 2021-</w:t>
            </w: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2027 роки,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Стратегія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Звягельської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на 2024-2030 роки</w:t>
            </w:r>
          </w:p>
        </w:tc>
      </w:tr>
      <w:tr w:rsidR="00147D83" w:rsidRPr="00147D83" w:rsidTr="00383557">
        <w:trPr>
          <w:trHeight w:val="4247"/>
        </w:trPr>
        <w:tc>
          <w:tcPr>
            <w:tcW w:w="3539" w:type="dxa"/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Відновлення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модернізація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інфраструктури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централізованого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водопостачання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водовідведення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впровадженням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альтернативних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джерел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енергії</w:t>
            </w:r>
            <w:proofErr w:type="spellEnd"/>
          </w:p>
        </w:tc>
        <w:tc>
          <w:tcPr>
            <w:tcW w:w="2693" w:type="dxa"/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Водопостачання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водовідведення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Протяжність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побудованих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мереж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водопостачання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(км.)</w:t>
            </w: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централізованим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водопостачанням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40 982</w:t>
            </w: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1, 574</w:t>
            </w: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1 870</w:t>
            </w: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Державна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стратегія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регіонального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на 2021-</w:t>
            </w:r>
            <w:r w:rsidRPr="00147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2027 роки,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Стратегія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Звягельської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на 2024-2030 роки</w:t>
            </w:r>
          </w:p>
        </w:tc>
      </w:tr>
      <w:tr w:rsidR="00147D83" w:rsidRPr="00147D83" w:rsidTr="00383557">
        <w:tc>
          <w:tcPr>
            <w:tcW w:w="3539" w:type="dxa"/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модернізація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централізованого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теплопостачання</w:t>
            </w:r>
            <w:proofErr w:type="spellEnd"/>
          </w:p>
        </w:tc>
        <w:tc>
          <w:tcPr>
            <w:tcW w:w="2693" w:type="dxa"/>
          </w:tcPr>
          <w:p w:rsidR="00147D83" w:rsidRPr="00147D83" w:rsidRDefault="00147D83" w:rsidP="0014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Теплопостачання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реконструйованих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ділянок</w:t>
            </w:r>
            <w:proofErr w:type="spellEnd"/>
            <w:proofErr w:type="gram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(км.)</w:t>
            </w: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Кількість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споживачів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теплової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енергії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домогосподарств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34, 594</w:t>
            </w:r>
          </w:p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8 267</w:t>
            </w:r>
          </w:p>
        </w:tc>
        <w:tc>
          <w:tcPr>
            <w:tcW w:w="992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1, 864</w:t>
            </w:r>
          </w:p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1 044</w:t>
            </w:r>
          </w:p>
        </w:tc>
        <w:tc>
          <w:tcPr>
            <w:tcW w:w="2410" w:type="dxa"/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Державна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стратегія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регіонального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на 2021-</w:t>
            </w:r>
            <w:r w:rsidRPr="00147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2027 роки,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Стратегія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Звягельської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громади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на 2024-2030 роки.</w:t>
            </w:r>
          </w:p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7D83" w:rsidRPr="00147D83" w:rsidRDefault="00147D83" w:rsidP="00147D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7D83" w:rsidRPr="00147D83" w:rsidRDefault="00147D83" w:rsidP="00147D8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7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Галузь (сектор) для публічного інвестування – </w:t>
      </w:r>
      <w:r w:rsidRPr="00147D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Енергетика </w:t>
      </w:r>
    </w:p>
    <w:p w:rsidR="00147D83" w:rsidRPr="00147D83" w:rsidRDefault="00147D83" w:rsidP="00147D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Структурний підрозділ, відповідальний за галузь (сектор) для публічного інвестування – Управління житлово-комунального господарства і екології </w:t>
      </w:r>
      <w:proofErr w:type="spellStart"/>
      <w:r w:rsidRPr="00147D83">
        <w:rPr>
          <w:rFonts w:ascii="Times New Roman" w:hAnsi="Times New Roman" w:cs="Times New Roman"/>
          <w:color w:val="000000" w:themeColor="text1"/>
          <w:sz w:val="28"/>
          <w:szCs w:val="28"/>
        </w:rPr>
        <w:t>Звягельської</w:t>
      </w:r>
      <w:proofErr w:type="spellEnd"/>
      <w:r w:rsidRPr="00147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ради.</w:t>
      </w:r>
    </w:p>
    <w:p w:rsidR="00147D83" w:rsidRPr="00147D83" w:rsidRDefault="00147D83" w:rsidP="00147D8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1"/>
        <w:tblW w:w="13462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3119"/>
        <w:gridCol w:w="1134"/>
        <w:gridCol w:w="850"/>
        <w:gridCol w:w="2127"/>
      </w:tblGrid>
      <w:tr w:rsidR="00147D83" w:rsidRPr="00147D83" w:rsidTr="00383557">
        <w:tc>
          <w:tcPr>
            <w:tcW w:w="3539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Напрям</w:t>
            </w:r>
            <w:proofErr w:type="spellEnd"/>
          </w:p>
        </w:tc>
        <w:tc>
          <w:tcPr>
            <w:tcW w:w="2693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Підсектор</w:t>
            </w:r>
            <w:proofErr w:type="spellEnd"/>
          </w:p>
        </w:tc>
        <w:tc>
          <w:tcPr>
            <w:tcW w:w="3119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Цільовий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показник</w:t>
            </w:r>
            <w:proofErr w:type="spellEnd"/>
          </w:p>
        </w:tc>
        <w:tc>
          <w:tcPr>
            <w:tcW w:w="1134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Базове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значення</w:t>
            </w:r>
            <w:proofErr w:type="spellEnd"/>
          </w:p>
        </w:tc>
        <w:tc>
          <w:tcPr>
            <w:tcW w:w="850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Ціль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2028</w:t>
            </w:r>
          </w:p>
        </w:tc>
        <w:tc>
          <w:tcPr>
            <w:tcW w:w="2127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Стратегія</w:t>
            </w:r>
            <w:proofErr w:type="spellEnd"/>
          </w:p>
        </w:tc>
      </w:tr>
      <w:tr w:rsidR="00147D83" w:rsidRPr="00147D83" w:rsidTr="00383557">
        <w:tc>
          <w:tcPr>
            <w:tcW w:w="3539" w:type="dxa"/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Забезпечення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комунальної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інфраструктури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відновлюваними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джерелами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енергії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Використання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відновлювальних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джерел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енергії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об’єктах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водопостачання</w:t>
            </w:r>
            <w:proofErr w:type="spellEnd"/>
            <w:proofErr w:type="gram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водовідведення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Кількість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встановлених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обєктів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ВДЕ</w:t>
            </w:r>
            <w:proofErr w:type="gram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(од.)</w:t>
            </w: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Державна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стратегія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регіонального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розвитку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2021-</w:t>
            </w: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2027 роки,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Стратегія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розвитку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Звягельської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територіальної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громади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2024-2030 роки </w:t>
            </w:r>
          </w:p>
        </w:tc>
      </w:tr>
      <w:tr w:rsidR="00147D83" w:rsidRPr="00147D83" w:rsidTr="00383557">
        <w:tc>
          <w:tcPr>
            <w:tcW w:w="3539" w:type="dxa"/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Підвищення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енергоефективності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надійності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системи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теплопостачання</w:t>
            </w:r>
            <w:proofErr w:type="spellEnd"/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Теплова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модернізація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муніципальних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систем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83" w:rsidRPr="00147D83" w:rsidRDefault="00147D83" w:rsidP="00147D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Теплопостачання</w:t>
            </w:r>
            <w:proofErr w:type="spellEnd"/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Кількість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встановлених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КГУ(од.)</w:t>
            </w: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Кількість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споживачів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теплової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енергії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домогосподарств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Кількість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джерел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теплової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енергії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використанням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природного газу (од.)</w:t>
            </w: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Кількість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споживачів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теплової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енергії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домогосподарств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966</w:t>
            </w: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7 623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3 366</w:t>
            </w: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1 688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Державна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стратегія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регіонального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розвитку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2021-</w:t>
            </w:r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2027 роки,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Стратегія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розвитку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Звягельської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територіальної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громади</w:t>
            </w:r>
            <w:proofErr w:type="spellEnd"/>
            <w:r w:rsidRPr="00147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2024-2030 роки.</w:t>
            </w:r>
          </w:p>
        </w:tc>
      </w:tr>
    </w:tbl>
    <w:p w:rsidR="00147D83" w:rsidRPr="00147D83" w:rsidRDefault="00147D83" w:rsidP="00147D83">
      <w:pPr>
        <w:rPr>
          <w:rFonts w:ascii="Times New Roman" w:hAnsi="Times New Roman" w:cs="Times New Roman"/>
          <w:sz w:val="28"/>
          <w:szCs w:val="28"/>
        </w:rPr>
      </w:pPr>
    </w:p>
    <w:p w:rsidR="00147D83" w:rsidRPr="00147D83" w:rsidRDefault="00147D83" w:rsidP="00147D83">
      <w:pPr>
        <w:rPr>
          <w:rFonts w:ascii="Times New Roman" w:hAnsi="Times New Roman" w:cs="Times New Roman"/>
          <w:sz w:val="28"/>
          <w:szCs w:val="28"/>
        </w:rPr>
      </w:pPr>
      <w:r w:rsidRPr="00147D83">
        <w:rPr>
          <w:rFonts w:ascii="Times New Roman" w:hAnsi="Times New Roman" w:cs="Times New Roman"/>
          <w:sz w:val="28"/>
          <w:szCs w:val="28"/>
        </w:rPr>
        <w:t xml:space="preserve">Галузь (сектор) для публічного інвестування – </w:t>
      </w:r>
      <w:r w:rsidRPr="00147D83">
        <w:rPr>
          <w:rFonts w:ascii="Times New Roman" w:hAnsi="Times New Roman" w:cs="Times New Roman"/>
          <w:b/>
          <w:sz w:val="28"/>
          <w:szCs w:val="28"/>
        </w:rPr>
        <w:t>Довкілля</w:t>
      </w:r>
    </w:p>
    <w:p w:rsidR="00147D83" w:rsidRPr="00147D83" w:rsidRDefault="00147D83" w:rsidP="00147D83">
      <w:pPr>
        <w:rPr>
          <w:rFonts w:ascii="Times New Roman" w:hAnsi="Times New Roman" w:cs="Times New Roman"/>
          <w:sz w:val="28"/>
          <w:szCs w:val="28"/>
        </w:rPr>
      </w:pPr>
      <w:r w:rsidRPr="00147D83">
        <w:rPr>
          <w:rFonts w:ascii="Times New Roman" w:hAnsi="Times New Roman" w:cs="Times New Roman"/>
          <w:sz w:val="28"/>
          <w:szCs w:val="28"/>
        </w:rPr>
        <w:t xml:space="preserve">Структурний підрозділ, відповідальний за галузь (сектор) для публічного інвестування – Управління житлово-комунального господарства і екології </w:t>
      </w:r>
      <w:proofErr w:type="spellStart"/>
      <w:r w:rsidRPr="00147D83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Pr="00147D83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tbl>
      <w:tblPr>
        <w:tblStyle w:val="1"/>
        <w:tblW w:w="13887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3119"/>
        <w:gridCol w:w="1134"/>
        <w:gridCol w:w="850"/>
        <w:gridCol w:w="2552"/>
      </w:tblGrid>
      <w:tr w:rsidR="00147D83" w:rsidRPr="00147D83" w:rsidTr="00383557">
        <w:tc>
          <w:tcPr>
            <w:tcW w:w="3539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Напрям</w:t>
            </w:r>
            <w:proofErr w:type="spellEnd"/>
          </w:p>
        </w:tc>
        <w:tc>
          <w:tcPr>
            <w:tcW w:w="2693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Підсектор</w:t>
            </w:r>
            <w:proofErr w:type="spellEnd"/>
          </w:p>
        </w:tc>
        <w:tc>
          <w:tcPr>
            <w:tcW w:w="3119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Цільовий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показник</w:t>
            </w:r>
            <w:proofErr w:type="spellEnd"/>
          </w:p>
        </w:tc>
        <w:tc>
          <w:tcPr>
            <w:tcW w:w="1134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Базове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значення</w:t>
            </w:r>
            <w:proofErr w:type="spellEnd"/>
          </w:p>
        </w:tc>
        <w:tc>
          <w:tcPr>
            <w:tcW w:w="850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Ціль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2028</w:t>
            </w:r>
          </w:p>
        </w:tc>
        <w:tc>
          <w:tcPr>
            <w:tcW w:w="2552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Стратегія</w:t>
            </w:r>
            <w:proofErr w:type="spellEnd"/>
          </w:p>
        </w:tc>
      </w:tr>
      <w:tr w:rsidR="00147D83" w:rsidRPr="00147D83" w:rsidTr="00383557">
        <w:tc>
          <w:tcPr>
            <w:tcW w:w="3539" w:type="dxa"/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Будівництво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полігону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твердих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побутових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відходів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відходами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Сортування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зберігання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утилізація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ТПВ)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Ступінь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готовності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об’єкта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Охоплення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послугами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83" w:rsidRPr="00147D83" w:rsidRDefault="00147D83" w:rsidP="0014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Національний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план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відходами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до 2033 року,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Стратегія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Звягельської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територіальної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 на 2024-2030 роки</w:t>
            </w:r>
          </w:p>
        </w:tc>
      </w:tr>
    </w:tbl>
    <w:p w:rsidR="00147D83" w:rsidRPr="00147D83" w:rsidRDefault="00147D83" w:rsidP="00147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D83" w:rsidRPr="00147D83" w:rsidRDefault="00147D83" w:rsidP="00147D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D83">
        <w:rPr>
          <w:rFonts w:ascii="Times New Roman" w:hAnsi="Times New Roman" w:cs="Times New Roman"/>
          <w:sz w:val="28"/>
          <w:szCs w:val="28"/>
        </w:rPr>
        <w:t xml:space="preserve">Галузь (сектор) для публічного інвестування – </w:t>
      </w:r>
      <w:r w:rsidRPr="00147D83">
        <w:rPr>
          <w:rFonts w:ascii="Times New Roman" w:hAnsi="Times New Roman" w:cs="Times New Roman"/>
          <w:b/>
          <w:sz w:val="28"/>
          <w:szCs w:val="28"/>
        </w:rPr>
        <w:t>Транспорт</w:t>
      </w:r>
    </w:p>
    <w:p w:rsidR="00147D83" w:rsidRPr="00147D83" w:rsidRDefault="00147D83" w:rsidP="00147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D83">
        <w:rPr>
          <w:rFonts w:ascii="Times New Roman" w:hAnsi="Times New Roman" w:cs="Times New Roman"/>
          <w:sz w:val="28"/>
          <w:szCs w:val="28"/>
        </w:rPr>
        <w:t xml:space="preserve">Структурний підрозділ, відповідальний за галузь для публічного інвестування – відділ економіки </w:t>
      </w:r>
      <w:proofErr w:type="spellStart"/>
      <w:r w:rsidRPr="00147D83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Pr="00147D83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147D83" w:rsidRPr="00147D83" w:rsidRDefault="00147D83" w:rsidP="00147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4312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3119"/>
        <w:gridCol w:w="1134"/>
        <w:gridCol w:w="1559"/>
        <w:gridCol w:w="2268"/>
      </w:tblGrid>
      <w:tr w:rsidR="00147D83" w:rsidRPr="00147D83" w:rsidTr="00383557">
        <w:tc>
          <w:tcPr>
            <w:tcW w:w="3539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Напрям</w:t>
            </w:r>
            <w:proofErr w:type="spellEnd"/>
          </w:p>
        </w:tc>
        <w:tc>
          <w:tcPr>
            <w:tcW w:w="2693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Підсектор</w:t>
            </w:r>
            <w:proofErr w:type="spellEnd"/>
          </w:p>
        </w:tc>
        <w:tc>
          <w:tcPr>
            <w:tcW w:w="3119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Цільовий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показник</w:t>
            </w:r>
            <w:proofErr w:type="spellEnd"/>
          </w:p>
        </w:tc>
        <w:tc>
          <w:tcPr>
            <w:tcW w:w="1134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Базове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значення</w:t>
            </w:r>
            <w:proofErr w:type="spellEnd"/>
          </w:p>
        </w:tc>
        <w:tc>
          <w:tcPr>
            <w:tcW w:w="1559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Ціль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2028</w:t>
            </w:r>
          </w:p>
        </w:tc>
        <w:tc>
          <w:tcPr>
            <w:tcW w:w="2268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Стратегія</w:t>
            </w:r>
            <w:proofErr w:type="spellEnd"/>
          </w:p>
        </w:tc>
      </w:tr>
      <w:tr w:rsidR="00147D83" w:rsidRPr="00147D83" w:rsidTr="00383557">
        <w:tc>
          <w:tcPr>
            <w:tcW w:w="3539" w:type="dxa"/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Комплексний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громадського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br/>
              <w:t>транспорту та</w:t>
            </w:r>
            <w:r w:rsidRPr="00147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інфраструктури</w:t>
            </w:r>
            <w:proofErr w:type="spellEnd"/>
          </w:p>
        </w:tc>
        <w:tc>
          <w:tcPr>
            <w:tcW w:w="2693" w:type="dxa"/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Громадський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br/>
              <w:t>транспорт</w:t>
            </w:r>
          </w:p>
        </w:tc>
        <w:tc>
          <w:tcPr>
            <w:tcW w:w="3119" w:type="dxa"/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модернізованих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закуплених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транспортних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отримувачів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пасажиропотік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1 299 000</w:t>
            </w:r>
          </w:p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Національна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транспортна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стратегія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до 2030</w:t>
            </w:r>
            <w:r w:rsidRPr="00147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року,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громадського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транспорту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Звягельської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</w:p>
        </w:tc>
      </w:tr>
    </w:tbl>
    <w:p w:rsidR="00147D83" w:rsidRDefault="00147D83" w:rsidP="00147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7D83" w:rsidRDefault="00147D83" w:rsidP="00147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7D83" w:rsidRPr="00147D83" w:rsidRDefault="00147D83" w:rsidP="00147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7D83" w:rsidRPr="00147D83" w:rsidRDefault="00147D83" w:rsidP="00147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D83">
        <w:rPr>
          <w:rFonts w:ascii="Times New Roman" w:hAnsi="Times New Roman" w:cs="Times New Roman"/>
          <w:sz w:val="28"/>
          <w:szCs w:val="28"/>
        </w:rPr>
        <w:lastRenderedPageBreak/>
        <w:t xml:space="preserve">Галузь (сектор) для публічного інвестування </w:t>
      </w:r>
      <w:r w:rsidRPr="00147D83">
        <w:rPr>
          <w:rFonts w:ascii="Times New Roman" w:hAnsi="Times New Roman" w:cs="Times New Roman"/>
          <w:b/>
          <w:sz w:val="28"/>
          <w:szCs w:val="28"/>
        </w:rPr>
        <w:t>– Культура</w:t>
      </w:r>
      <w:r w:rsidRPr="00147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D83" w:rsidRPr="00147D83" w:rsidRDefault="00147D83" w:rsidP="00147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D83">
        <w:rPr>
          <w:rFonts w:ascii="Times New Roman" w:hAnsi="Times New Roman" w:cs="Times New Roman"/>
          <w:sz w:val="28"/>
          <w:szCs w:val="28"/>
        </w:rPr>
        <w:t xml:space="preserve">Структурний підрозділ, відповідальний за галузь (сектор) для публічного інвестування – Управління культури і туризму </w:t>
      </w:r>
      <w:proofErr w:type="spellStart"/>
      <w:r w:rsidRPr="00147D83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Pr="00147D83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147D83" w:rsidRPr="00147D83" w:rsidRDefault="00147D83" w:rsidP="00147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4029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3119"/>
        <w:gridCol w:w="1134"/>
        <w:gridCol w:w="850"/>
        <w:gridCol w:w="2694"/>
      </w:tblGrid>
      <w:tr w:rsidR="00147D83" w:rsidRPr="00147D83" w:rsidTr="00383557">
        <w:tc>
          <w:tcPr>
            <w:tcW w:w="3539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Напрям</w:t>
            </w:r>
            <w:proofErr w:type="spellEnd"/>
          </w:p>
        </w:tc>
        <w:tc>
          <w:tcPr>
            <w:tcW w:w="2693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Підсектор</w:t>
            </w:r>
            <w:proofErr w:type="spellEnd"/>
          </w:p>
        </w:tc>
        <w:tc>
          <w:tcPr>
            <w:tcW w:w="3119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Цільовий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показник</w:t>
            </w:r>
            <w:proofErr w:type="spellEnd"/>
          </w:p>
        </w:tc>
        <w:tc>
          <w:tcPr>
            <w:tcW w:w="1134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Базове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значення</w:t>
            </w:r>
            <w:proofErr w:type="spellEnd"/>
          </w:p>
        </w:tc>
        <w:tc>
          <w:tcPr>
            <w:tcW w:w="850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Ціль</w:t>
            </w:r>
            <w:proofErr w:type="spellEnd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2028</w:t>
            </w:r>
          </w:p>
        </w:tc>
        <w:tc>
          <w:tcPr>
            <w:tcW w:w="2694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Стратегія</w:t>
            </w:r>
            <w:proofErr w:type="spellEnd"/>
          </w:p>
        </w:tc>
      </w:tr>
      <w:tr w:rsidR="00147D83" w:rsidRPr="00147D83" w:rsidTr="00383557">
        <w:tc>
          <w:tcPr>
            <w:tcW w:w="3539" w:type="dxa"/>
          </w:tcPr>
          <w:p w:rsidR="00147D83" w:rsidRPr="00FE6E77" w:rsidRDefault="00147D83" w:rsidP="00147D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Покращення умов надання базових культурних послуг шляхом модернізації матеріально-технічної бази та приведення закладів культури у належний стан, у тому числі з метою подолання наслідків збройної агресії російської федерації </w:t>
            </w:r>
          </w:p>
        </w:tc>
        <w:tc>
          <w:tcPr>
            <w:tcW w:w="2693" w:type="dxa"/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D8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Культурно - </w:t>
            </w:r>
            <w:proofErr w:type="spellStart"/>
            <w:r w:rsidRPr="00147D83">
              <w:rPr>
                <w:rFonts w:ascii="Times New Roman" w:eastAsia="MS Mincho" w:hAnsi="Times New Roman" w:cs="Times New Roman"/>
                <w:sz w:val="28"/>
                <w:szCs w:val="28"/>
              </w:rPr>
              <w:t>мистецькі</w:t>
            </w:r>
            <w:proofErr w:type="spellEnd"/>
            <w:r w:rsidRPr="00147D8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eastAsia="MS Mincho" w:hAnsi="Times New Roman" w:cs="Times New Roman"/>
                <w:sz w:val="28"/>
                <w:szCs w:val="28"/>
              </w:rPr>
              <w:t>заклади</w:t>
            </w:r>
            <w:proofErr w:type="spellEnd"/>
            <w:r w:rsidRPr="00147D8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модернізованих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Pr="00147D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єктів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(од.)</w:t>
            </w:r>
          </w:p>
        </w:tc>
        <w:tc>
          <w:tcPr>
            <w:tcW w:w="1134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Стратегія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до 2030 року,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Стратегія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Звягельської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на 2024-2030 роки </w:t>
            </w:r>
          </w:p>
        </w:tc>
      </w:tr>
      <w:tr w:rsidR="00147D83" w:rsidRPr="00147D83" w:rsidTr="00383557">
        <w:tc>
          <w:tcPr>
            <w:tcW w:w="3539" w:type="dxa"/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Модернізація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збереження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культурної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інфраструктури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147D83" w:rsidRPr="00147D83" w:rsidRDefault="00147D83" w:rsidP="00147D83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eastAsia="MS Mincho" w:hAnsi="Times New Roman" w:cs="Times New Roman"/>
                <w:sz w:val="28"/>
                <w:szCs w:val="28"/>
              </w:rPr>
              <w:t>Історико</w:t>
            </w:r>
            <w:proofErr w:type="spellEnd"/>
            <w:r w:rsidRPr="00147D8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-культурна </w:t>
            </w:r>
            <w:proofErr w:type="spellStart"/>
            <w:r w:rsidRPr="00147D83">
              <w:rPr>
                <w:rFonts w:ascii="Times New Roman" w:eastAsia="MS Mincho" w:hAnsi="Times New Roman" w:cs="Times New Roman"/>
                <w:sz w:val="28"/>
                <w:szCs w:val="28"/>
              </w:rPr>
              <w:t>спадщина</w:t>
            </w:r>
            <w:proofErr w:type="spellEnd"/>
          </w:p>
        </w:tc>
        <w:tc>
          <w:tcPr>
            <w:tcW w:w="3119" w:type="dxa"/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відреставрованих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об'єктів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(од.)</w:t>
            </w:r>
          </w:p>
        </w:tc>
        <w:tc>
          <w:tcPr>
            <w:tcW w:w="1134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47D83" w:rsidRPr="00147D83" w:rsidRDefault="00147D83" w:rsidP="00147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147D83" w:rsidRPr="00147D83" w:rsidRDefault="00147D83" w:rsidP="0014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Стратегія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до 2030 року,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Стратегія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Звягельської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147D83">
              <w:rPr>
                <w:rFonts w:ascii="Times New Roman" w:hAnsi="Times New Roman" w:cs="Times New Roman"/>
                <w:sz w:val="28"/>
                <w:szCs w:val="28"/>
              </w:rPr>
              <w:t xml:space="preserve"> на 2024-2030 роки</w:t>
            </w:r>
          </w:p>
        </w:tc>
      </w:tr>
    </w:tbl>
    <w:p w:rsidR="00FE698B" w:rsidRPr="00FE698B" w:rsidRDefault="00FE698B" w:rsidP="00147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5C" w:rsidRDefault="00807E5C"/>
    <w:sectPr w:rsidR="00807E5C" w:rsidSect="00147D83">
      <w:pgSz w:w="16838" w:h="11906" w:orient="landscape"/>
      <w:pgMar w:top="1843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5190"/>
    <w:multiLevelType w:val="hybridMultilevel"/>
    <w:tmpl w:val="B1827F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019C8"/>
    <w:multiLevelType w:val="hybridMultilevel"/>
    <w:tmpl w:val="51BAD89C"/>
    <w:lvl w:ilvl="0" w:tplc="E592B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8B"/>
    <w:rsid w:val="00147D83"/>
    <w:rsid w:val="00252A1D"/>
    <w:rsid w:val="00325BA5"/>
    <w:rsid w:val="006F7615"/>
    <w:rsid w:val="00807E5C"/>
    <w:rsid w:val="00E33E94"/>
    <w:rsid w:val="00FE698B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6779"/>
  <w15:chartTrackingRefBased/>
  <w15:docId w15:val="{4C68C7A6-0389-4775-95B0-36D72AD0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BA5"/>
    <w:pPr>
      <w:ind w:left="720"/>
      <w:contextualSpacing/>
    </w:pPr>
  </w:style>
  <w:style w:type="table" w:styleId="a4">
    <w:name w:val="Table Grid"/>
    <w:basedOn w:val="a1"/>
    <w:uiPriority w:val="39"/>
    <w:rsid w:val="00147D8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147D8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18</Pages>
  <Words>13515</Words>
  <Characters>7704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2022-12-26T06:22:00Z</dcterms:created>
  <dcterms:modified xsi:type="dcterms:W3CDTF">2025-08-29T10:42:00Z</dcterms:modified>
</cp:coreProperties>
</file>