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5C" w:rsidRDefault="0016109C" w:rsidP="0016109C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9341734">
            <wp:extent cx="450850" cy="60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7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сімдесят перша</w:t>
      </w:r>
      <w:r w:rsidRPr="00A030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0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сесія</w:t>
      </w:r>
      <w:proofErr w:type="spellEnd"/>
      <w:r w:rsidRPr="00A0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восьмого </w:t>
      </w:r>
      <w:proofErr w:type="spellStart"/>
      <w:r w:rsidRPr="00A0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скликання</w:t>
      </w:r>
      <w:proofErr w:type="spellEnd"/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</w:t>
      </w:r>
      <w:r w:rsidRPr="00A0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30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№ </w:t>
      </w: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16109C" w:rsidRPr="00A03074" w:rsidTr="0016109C">
        <w:trPr>
          <w:trHeight w:val="1750"/>
        </w:trPr>
        <w:tc>
          <w:tcPr>
            <w:tcW w:w="5190" w:type="dxa"/>
            <w:shd w:val="clear" w:color="auto" w:fill="auto"/>
          </w:tcPr>
          <w:p w:rsidR="0016109C" w:rsidRPr="00A03074" w:rsidRDefault="0016109C" w:rsidP="0016109C">
            <w:pPr>
              <w:widowControl w:val="0"/>
              <w:tabs>
                <w:tab w:val="left" w:pos="180"/>
                <w:tab w:val="left" w:pos="525"/>
                <w:tab w:val="left" w:pos="6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r w:rsidRPr="00A03074">
              <w:rPr>
                <w:rFonts w:ascii="Times New Roman" w:eastAsia="Batang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та доповнень </w:t>
            </w:r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Програми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економічного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соціального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розвитку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Звягельської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міської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територіальної</w:t>
            </w:r>
            <w:proofErr w:type="spellEnd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громади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2026</w:t>
            </w:r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рік</w:t>
            </w:r>
            <w:proofErr w:type="spellEnd"/>
          </w:p>
          <w:bookmarkEnd w:id="0"/>
          <w:p w:rsidR="0016109C" w:rsidRPr="00A03074" w:rsidRDefault="0016109C" w:rsidP="0016109C">
            <w:pPr>
              <w:widowControl w:val="0"/>
              <w:tabs>
                <w:tab w:val="left" w:pos="180"/>
                <w:tab w:val="left" w:pos="525"/>
                <w:tab w:val="left" w:pos="6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Керуючись статтею 25, пунктом 22 частини першої статті 26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України», враховуючи звернення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начальника управління житлово-комунального господарства і екології міської ради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Годуна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О.В.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про необхідність внесення змін і доповнень до Програми економічного і соціального розвитку </w:t>
      </w:r>
      <w:proofErr w:type="spellStart"/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місько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ї територіальної громади на 2026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рік, міська рада</w:t>
      </w: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Pr="00A03074" w:rsidRDefault="0016109C" w:rsidP="0016109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6109C" w:rsidRPr="00A03074" w:rsidRDefault="0016109C" w:rsidP="0016109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Pr="00A03074" w:rsidRDefault="0016109C" w:rsidP="001610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Внести  зміни  і  доповнення  до  </w:t>
      </w:r>
      <w:r w:rsidRPr="00A0307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Програми   економічного   і соціального </w:t>
      </w:r>
    </w:p>
    <w:p w:rsidR="0016109C" w:rsidRPr="00A03074" w:rsidRDefault="0016109C" w:rsidP="0016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розвитку</w:t>
      </w:r>
      <w:r w:rsidRPr="00A030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0307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Звягельської</w:t>
      </w:r>
      <w:proofErr w:type="spellEnd"/>
      <w:r w:rsidRPr="00A0307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</w:t>
      </w:r>
      <w:r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ї територіальної громади на 2026</w:t>
      </w:r>
      <w:r w:rsidRPr="00A03074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рік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, затвердженої рішенням міської ради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18.12.2025 №1647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, а саме: до розділу І</w:t>
      </w:r>
      <w:r w:rsidRPr="00A030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V</w:t>
      </w:r>
      <w:r w:rsidRPr="00A03074">
        <w:rPr>
          <w:rFonts w:ascii="Times New Roman" w:eastAsia="Batang" w:hAnsi="Times New Roman" w:cs="Times New Roman"/>
          <w:sz w:val="20"/>
          <w:szCs w:val="20"/>
          <w:lang w:val="uk-UA" w:eastAsia="ru-RU"/>
        </w:rPr>
        <w:t xml:space="preserve">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«Заходи щодо забезпечення виконання завдань Програми економічного і соці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ального розвитку громади на 2026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рік», підрозділу ІІІ «Житлово-комунальне господарство»</w:t>
      </w:r>
      <w:r w:rsidRPr="00EF7E32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  <w:r w:rsidRPr="00A030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(додається).</w:t>
      </w:r>
    </w:p>
    <w:p w:rsidR="0016109C" w:rsidRPr="00A03074" w:rsidRDefault="0016109C" w:rsidP="0016109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" w:firstLine="284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 (Сухих А.Ю.), заступни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ків міського голови Гудзь Д.С.,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Гудзь  І.Л.</w:t>
      </w:r>
    </w:p>
    <w:p w:rsidR="0016109C" w:rsidRDefault="0016109C" w:rsidP="001610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</w:t>
      </w:r>
    </w:p>
    <w:p w:rsidR="0016109C" w:rsidRDefault="0016109C" w:rsidP="001610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Pr="00A03074" w:rsidRDefault="0016109C" w:rsidP="001610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Міський голова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  <w:t>Микола БОРОВЕЦЬ</w:t>
      </w: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  <w:sectPr w:rsidR="0016109C" w:rsidSect="0016109C">
          <w:headerReference w:type="even" r:id="rId8"/>
          <w:headerReference w:type="default" r:id="rId9"/>
          <w:pgSz w:w="11906" w:h="16838"/>
          <w:pgMar w:top="0" w:right="851" w:bottom="142" w:left="1418" w:header="709" w:footer="709" w:gutter="170"/>
          <w:cols w:space="708"/>
          <w:docGrid w:linePitch="360"/>
        </w:sect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Pr="00A03074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Додаток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до рішення міської ради</w:t>
      </w:r>
    </w:p>
    <w:p w:rsidR="0016109C" w:rsidRPr="00A03074" w:rsidRDefault="0016109C" w:rsidP="0016109C">
      <w:pPr>
        <w:widowControl w:val="0"/>
        <w:tabs>
          <w:tab w:val="left" w:pos="36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A03074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від                      №</w:t>
      </w:r>
    </w:p>
    <w:p w:rsidR="0016109C" w:rsidRPr="00A03074" w:rsidRDefault="0016109C" w:rsidP="0016109C">
      <w:pPr>
        <w:widowControl w:val="0"/>
        <w:tabs>
          <w:tab w:val="left" w:pos="36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Pr="00A03074" w:rsidRDefault="0016109C" w:rsidP="0016109C">
      <w:pPr>
        <w:widowControl w:val="0"/>
        <w:tabs>
          <w:tab w:val="left" w:pos="360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A03074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І</w:t>
      </w:r>
      <w:r w:rsidRPr="00A03074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</w:t>
      </w:r>
      <w:r w:rsidRPr="00A03074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«Заходи щодо забезпечення виконання завдань Програми економічного і соці</w:t>
      </w:r>
      <w:r w:rsidR="009E5EB9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ального розвитку громади на 2026</w:t>
      </w:r>
      <w:r w:rsidRPr="00A03074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рік»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6379"/>
        <w:gridCol w:w="992"/>
        <w:gridCol w:w="1418"/>
        <w:gridCol w:w="993"/>
        <w:gridCol w:w="1276"/>
        <w:gridCol w:w="15"/>
        <w:gridCol w:w="6"/>
        <w:gridCol w:w="3949"/>
        <w:gridCol w:w="7"/>
        <w:gridCol w:w="10"/>
      </w:tblGrid>
      <w:tr w:rsidR="0016109C" w:rsidRPr="00A03074" w:rsidTr="0016109C">
        <w:trPr>
          <w:tblHeader/>
        </w:trPr>
        <w:tc>
          <w:tcPr>
            <w:tcW w:w="430" w:type="dxa"/>
            <w:vMerge w:val="restart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 w:val="restart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Зміст</w:t>
            </w:r>
            <w:proofErr w:type="spellEnd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заходу</w:t>
            </w:r>
          </w:p>
        </w:tc>
        <w:tc>
          <w:tcPr>
            <w:tcW w:w="992" w:type="dxa"/>
            <w:vMerge w:val="restart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ПКД</w:t>
            </w:r>
          </w:p>
        </w:tc>
        <w:tc>
          <w:tcPr>
            <w:tcW w:w="3708" w:type="dxa"/>
            <w:gridSpan w:val="5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Необхідне</w:t>
            </w:r>
            <w:proofErr w:type="spellEnd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фінансове</w:t>
            </w:r>
            <w:proofErr w:type="spellEnd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забезпечення</w:t>
            </w:r>
            <w:proofErr w:type="spellEnd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тис.грн</w:t>
            </w:r>
            <w:proofErr w:type="spellEnd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966" w:type="dxa"/>
            <w:gridSpan w:val="3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074">
              <w:rPr>
                <w:rFonts w:ascii="Verdana" w:eastAsia="Verdana" w:hAnsi="Verdana" w:cs="Verdana"/>
                <w:b/>
                <w:w w:val="85"/>
                <w:sz w:val="18"/>
              </w:rPr>
              <w:t>Стратегічна</w:t>
            </w:r>
            <w:proofErr w:type="spellEnd"/>
            <w:r w:rsidRPr="00A03074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A03074">
              <w:rPr>
                <w:rFonts w:ascii="Verdana" w:eastAsia="Verdana" w:hAnsi="Verdana" w:cs="Verdana"/>
                <w:b/>
                <w:w w:val="85"/>
                <w:sz w:val="18"/>
              </w:rPr>
              <w:t>ціль</w:t>
            </w:r>
            <w:proofErr w:type="spellEnd"/>
          </w:p>
        </w:tc>
      </w:tr>
      <w:tr w:rsidR="0016109C" w:rsidRPr="00A03074" w:rsidTr="0016109C">
        <w:trPr>
          <w:gridAfter w:val="1"/>
          <w:wAfter w:w="10" w:type="dxa"/>
          <w:tblHeader/>
        </w:trPr>
        <w:tc>
          <w:tcPr>
            <w:tcW w:w="430" w:type="dxa"/>
            <w:vMerge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vMerge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  <w:proofErr w:type="spellEnd"/>
          </w:p>
        </w:tc>
        <w:tc>
          <w:tcPr>
            <w:tcW w:w="2284" w:type="dxa"/>
            <w:gridSpan w:val="3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тому </w:t>
            </w: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числі</w:t>
            </w:r>
            <w:proofErr w:type="spellEnd"/>
          </w:p>
        </w:tc>
        <w:tc>
          <w:tcPr>
            <w:tcW w:w="3962" w:type="dxa"/>
            <w:gridSpan w:val="3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109C" w:rsidRPr="00A03074" w:rsidTr="0016109C">
        <w:trPr>
          <w:gridAfter w:val="2"/>
          <w:wAfter w:w="17" w:type="dxa"/>
          <w:trHeight w:val="330"/>
          <w:tblHeader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 </w:t>
            </w: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інші</w:t>
            </w:r>
            <w:proofErr w:type="spellEnd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03074">
              <w:rPr>
                <w:rFonts w:ascii="Times New Roman" w:eastAsia="Times New Roman" w:hAnsi="Times New Roman" w:cs="Times New Roman"/>
                <w:b/>
                <w:lang w:eastAsia="ru-RU"/>
              </w:rPr>
              <w:t>джерела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85"/>
                <w:sz w:val="18"/>
              </w:rPr>
            </w:pPr>
            <w:proofErr w:type="spellStart"/>
            <w:r w:rsidRPr="00A03074">
              <w:rPr>
                <w:rFonts w:ascii="Verdana" w:eastAsia="Verdana" w:hAnsi="Verdana" w:cs="Verdana"/>
                <w:b/>
                <w:w w:val="85"/>
                <w:sz w:val="18"/>
              </w:rPr>
              <w:t>Оперативні</w:t>
            </w:r>
            <w:proofErr w:type="spellEnd"/>
            <w:r w:rsidRPr="00A03074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A03074">
              <w:rPr>
                <w:rFonts w:ascii="Verdana" w:eastAsia="Verdana" w:hAnsi="Verdana" w:cs="Verdana"/>
                <w:b/>
                <w:w w:val="85"/>
                <w:sz w:val="18"/>
              </w:rPr>
              <w:t>цілі</w:t>
            </w:r>
            <w:proofErr w:type="spellEnd"/>
          </w:p>
        </w:tc>
      </w:tr>
      <w:tr w:rsidR="0016109C" w:rsidRPr="00A03074" w:rsidTr="0016109C">
        <w:trPr>
          <w:trHeight w:val="211"/>
        </w:trPr>
        <w:tc>
          <w:tcPr>
            <w:tcW w:w="430" w:type="dxa"/>
            <w:shd w:val="clear" w:color="auto" w:fill="E5B8B7"/>
          </w:tcPr>
          <w:p w:rsidR="0016109C" w:rsidRPr="00A03074" w:rsidRDefault="0016109C" w:rsidP="001610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45" w:type="dxa"/>
            <w:gridSpan w:val="10"/>
            <w:shd w:val="clear" w:color="auto" w:fill="E5B8B7"/>
            <w:vAlign w:val="center"/>
          </w:tcPr>
          <w:p w:rsidR="0016109C" w:rsidRPr="00A03074" w:rsidRDefault="0016109C" w:rsidP="001610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ІІІ. </w:t>
            </w:r>
            <w:r w:rsidRPr="00A03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ЖИТЛОВО-КОМУНАЛЬНЕ ГОСПОДАРСТВО</w:t>
            </w:r>
          </w:p>
        </w:tc>
      </w:tr>
      <w:tr w:rsidR="0016109C" w:rsidRPr="00A03074" w:rsidTr="0016109C">
        <w:trPr>
          <w:gridAfter w:val="2"/>
          <w:wAfter w:w="17" w:type="dxa"/>
        </w:trPr>
        <w:tc>
          <w:tcPr>
            <w:tcW w:w="430" w:type="dxa"/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379" w:type="dxa"/>
            <w:vAlign w:val="center"/>
          </w:tcPr>
          <w:p w:rsidR="0016109C" w:rsidRPr="00A03074" w:rsidRDefault="0016109C" w:rsidP="0016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0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Сплата добровільних внесків до  Револьверного Фонду Міст Асоціації «Енергоефективні міста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30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</w:t>
            </w:r>
          </w:p>
        </w:tc>
        <w:tc>
          <w:tcPr>
            <w:tcW w:w="1418" w:type="dxa"/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993" w:type="dxa"/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76" w:type="dxa"/>
            <w:vAlign w:val="center"/>
          </w:tcPr>
          <w:p w:rsidR="0016109C" w:rsidRPr="00A03074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3"/>
          </w:tcPr>
          <w:p w:rsidR="0016109C" w:rsidRPr="0016109C" w:rsidRDefault="0016109C" w:rsidP="0016109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w w:val="85"/>
                <w:sz w:val="18"/>
              </w:rPr>
            </w:pP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Стратегічна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ціль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№ 4 Громада без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околиць</w:t>
            </w:r>
            <w:proofErr w:type="spellEnd"/>
          </w:p>
          <w:p w:rsidR="0016109C" w:rsidRPr="00A03074" w:rsidRDefault="0016109C" w:rsidP="0016109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w w:val="85"/>
                <w:sz w:val="18"/>
              </w:rPr>
            </w:pPr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4.2.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Підвищення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рівня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енергоефективності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та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впровадження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енергоефективних</w:t>
            </w:r>
            <w:proofErr w:type="spellEnd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 xml:space="preserve"> </w:t>
            </w:r>
            <w:proofErr w:type="spellStart"/>
            <w:r w:rsidRPr="0016109C">
              <w:rPr>
                <w:rFonts w:ascii="Verdana" w:eastAsia="Verdana" w:hAnsi="Verdana" w:cs="Verdana"/>
                <w:b/>
                <w:w w:val="85"/>
                <w:sz w:val="18"/>
              </w:rPr>
              <w:t>технологій</w:t>
            </w:r>
            <w:proofErr w:type="spellEnd"/>
          </w:p>
        </w:tc>
      </w:tr>
      <w:tr w:rsidR="0016109C" w:rsidRPr="00A03074" w:rsidTr="0016109C">
        <w:trPr>
          <w:gridAfter w:val="2"/>
          <w:wAfter w:w="17" w:type="dxa"/>
        </w:trPr>
        <w:tc>
          <w:tcPr>
            <w:tcW w:w="430" w:type="dxa"/>
            <w:shd w:val="clear" w:color="auto" w:fill="C6D9F1"/>
          </w:tcPr>
          <w:p w:rsidR="0016109C" w:rsidRPr="00A03074" w:rsidRDefault="0016109C" w:rsidP="0016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shd w:val="clear" w:color="auto" w:fill="C6D9F1"/>
          </w:tcPr>
          <w:p w:rsidR="0016109C" w:rsidRPr="009E5EB9" w:rsidRDefault="0016109C" w:rsidP="0016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shd w:val="clear" w:color="auto" w:fill="C6D9F1"/>
          </w:tcPr>
          <w:p w:rsidR="0016109C" w:rsidRPr="009E5EB9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:rsidR="0016109C" w:rsidRPr="009E5EB9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562915,9831</w:t>
            </w:r>
          </w:p>
        </w:tc>
        <w:tc>
          <w:tcPr>
            <w:tcW w:w="993" w:type="dxa"/>
            <w:shd w:val="clear" w:color="auto" w:fill="C6D9F1"/>
            <w:vAlign w:val="center"/>
          </w:tcPr>
          <w:p w:rsidR="0016109C" w:rsidRPr="009E5EB9" w:rsidRDefault="009E5EB9" w:rsidP="009E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394002,4011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16109C" w:rsidRPr="009E5EB9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168913,582</w:t>
            </w:r>
          </w:p>
        </w:tc>
        <w:tc>
          <w:tcPr>
            <w:tcW w:w="3970" w:type="dxa"/>
            <w:gridSpan w:val="3"/>
            <w:shd w:val="clear" w:color="auto" w:fill="C6D9F1"/>
          </w:tcPr>
          <w:p w:rsidR="0016109C" w:rsidRPr="009E5EB9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1080"/>
          <w:tab w:val="left" w:pos="6480"/>
        </w:tabs>
        <w:autoSpaceDE w:val="0"/>
        <w:autoSpaceDN w:val="0"/>
        <w:adjustRightInd w:val="0"/>
        <w:spacing w:after="0" w:line="228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:rsidR="0016109C" w:rsidRDefault="0016109C" w:rsidP="0016109C">
      <w:pPr>
        <w:widowControl w:val="0"/>
        <w:tabs>
          <w:tab w:val="left" w:pos="36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B613E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      Оксана ГВОЗДЕНКО</w:t>
      </w:r>
    </w:p>
    <w:p w:rsidR="0016109C" w:rsidRDefault="0016109C" w:rsidP="0016109C">
      <w:pPr>
        <w:tabs>
          <w:tab w:val="left" w:pos="1905"/>
        </w:tabs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16109C" w:rsidRPr="0016109C" w:rsidRDefault="0016109C" w:rsidP="0016109C">
      <w:pPr>
        <w:tabs>
          <w:tab w:val="left" w:pos="1905"/>
        </w:tabs>
        <w:rPr>
          <w:rFonts w:ascii="Times New Roman" w:eastAsia="Batang" w:hAnsi="Times New Roman" w:cs="Times New Roman"/>
          <w:sz w:val="28"/>
          <w:szCs w:val="28"/>
          <w:lang w:val="uk-UA" w:eastAsia="ru-RU"/>
        </w:rPr>
        <w:sectPr w:rsidR="0016109C" w:rsidRPr="0016109C" w:rsidSect="0016109C">
          <w:pgSz w:w="16838" w:h="11906" w:orient="landscape"/>
          <w:pgMar w:top="1418" w:right="295" w:bottom="851" w:left="567" w:header="709" w:footer="709" w:gutter="170"/>
          <w:cols w:space="708"/>
          <w:docGrid w:linePitch="360"/>
        </w:sect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</w:p>
    <w:p w:rsidR="0016109C" w:rsidRPr="009B613E" w:rsidRDefault="0016109C" w:rsidP="0016109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9B613E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lastRenderedPageBreak/>
        <w:t xml:space="preserve">Порівняльна таблиця доповнень </w:t>
      </w:r>
    </w:p>
    <w:p w:rsidR="0016109C" w:rsidRPr="009B613E" w:rsidRDefault="0016109C" w:rsidP="0016109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9B613E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>до Програми економічного</w:t>
      </w:r>
      <w:r w:rsidR="009E5EB9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та соціального розвитку на 2026</w:t>
      </w:r>
      <w:r w:rsidRPr="009B613E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16109C" w:rsidRPr="009B613E" w:rsidRDefault="0016109C" w:rsidP="0016109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</w:p>
    <w:p w:rsidR="0016109C" w:rsidRPr="009B613E" w:rsidRDefault="0016109C" w:rsidP="0016109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9B613E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І</w:t>
      </w:r>
      <w:r w:rsidRPr="009B613E">
        <w:rPr>
          <w:rFonts w:ascii="Times New Roman" w:eastAsia="Batang" w:hAnsi="Times New Roman" w:cs="Times New Roman"/>
          <w:b/>
          <w:bCs/>
          <w:sz w:val="28"/>
          <w:szCs w:val="28"/>
          <w:lang w:val="en-US" w:eastAsia="ru-RU"/>
        </w:rPr>
        <w:t>V</w:t>
      </w:r>
      <w:r w:rsidRPr="009B613E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«Заходи щодо забезпечення виконання завдань Програми економічного і соціального розвитку громади на   </w:t>
      </w:r>
    </w:p>
    <w:p w:rsidR="0016109C" w:rsidRDefault="0016109C" w:rsidP="0016109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9B613E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</w:t>
      </w:r>
      <w:r w:rsidR="009E5EB9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2026</w:t>
      </w:r>
      <w:r w:rsidRPr="009B613E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рік»</w:t>
      </w:r>
    </w:p>
    <w:p w:rsidR="0016109C" w:rsidRPr="009B613E" w:rsidRDefault="0016109C" w:rsidP="0016109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3545"/>
        <w:gridCol w:w="1203"/>
        <w:gridCol w:w="1354"/>
        <w:gridCol w:w="1243"/>
        <w:gridCol w:w="4240"/>
        <w:gridCol w:w="1231"/>
        <w:gridCol w:w="1355"/>
        <w:gridCol w:w="1215"/>
      </w:tblGrid>
      <w:tr w:rsidR="0016109C" w:rsidRPr="009B613E" w:rsidTr="0016109C">
        <w:trPr>
          <w:trHeight w:val="519"/>
        </w:trPr>
        <w:tc>
          <w:tcPr>
            <w:tcW w:w="15881" w:type="dxa"/>
            <w:gridSpan w:val="9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ІІІ. ЖИТЛОВО-КОМУНАЛЬНЕ ГОСПОДАРСТВО</w:t>
            </w:r>
          </w:p>
        </w:tc>
      </w:tr>
      <w:tr w:rsidR="0016109C" w:rsidRPr="009B613E" w:rsidTr="0016109C">
        <w:trPr>
          <w:trHeight w:val="519"/>
        </w:trPr>
        <w:tc>
          <w:tcPr>
            <w:tcW w:w="7840" w:type="dxa"/>
            <w:gridSpan w:val="5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До доповнень</w:t>
            </w:r>
          </w:p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            всього </w:t>
            </w:r>
            <w:proofErr w:type="spellStart"/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041" w:type="dxa"/>
            <w:gridSpan w:val="4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Після доповнень</w:t>
            </w:r>
          </w:p>
          <w:p w:rsidR="0016109C" w:rsidRPr="009B613E" w:rsidRDefault="0016109C" w:rsidP="001610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6109C" w:rsidRPr="009B613E" w:rsidTr="0016109C">
        <w:trPr>
          <w:trHeight w:val="150"/>
        </w:trPr>
        <w:tc>
          <w:tcPr>
            <w:tcW w:w="495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545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  <w:tc>
          <w:tcPr>
            <w:tcW w:w="1203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54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 громади</w:t>
            </w:r>
          </w:p>
        </w:tc>
        <w:tc>
          <w:tcPr>
            <w:tcW w:w="1243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інші</w:t>
            </w:r>
          </w:p>
        </w:tc>
        <w:tc>
          <w:tcPr>
            <w:tcW w:w="4240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  <w:tc>
          <w:tcPr>
            <w:tcW w:w="1231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55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бюджет громади</w:t>
            </w:r>
          </w:p>
        </w:tc>
        <w:tc>
          <w:tcPr>
            <w:tcW w:w="1215" w:type="dxa"/>
            <w:shd w:val="clear" w:color="auto" w:fill="auto"/>
          </w:tcPr>
          <w:p w:rsidR="0016109C" w:rsidRPr="009B613E" w:rsidRDefault="0016109C" w:rsidP="0016109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інші</w:t>
            </w:r>
          </w:p>
        </w:tc>
      </w:tr>
      <w:tr w:rsidR="0016109C" w:rsidRPr="009B613E" w:rsidTr="0016109C">
        <w:trPr>
          <w:trHeight w:val="150"/>
        </w:trPr>
        <w:tc>
          <w:tcPr>
            <w:tcW w:w="495" w:type="dxa"/>
            <w:shd w:val="clear" w:color="auto" w:fill="auto"/>
            <w:vAlign w:val="center"/>
          </w:tcPr>
          <w:p w:rsidR="0016109C" w:rsidRPr="009B613E" w:rsidRDefault="009E5EB9" w:rsidP="0016109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16109C" w:rsidRPr="009E5EB9" w:rsidRDefault="009E5EB9" w:rsidP="0016109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uk-UA"/>
              </w:rPr>
            </w:pPr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Сплата добровільних внесків до  Револьверного Фонду Міст Асоціації «Енергоефективні міста України»</w:t>
            </w:r>
          </w:p>
        </w:tc>
        <w:tc>
          <w:tcPr>
            <w:tcW w:w="1231" w:type="dxa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5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</w:t>
            </w:r>
            <w:r w:rsidRPr="009B6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355" w:type="dxa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5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500</w:t>
            </w:r>
            <w:r w:rsidRPr="009B6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15" w:type="dxa"/>
            <w:vAlign w:val="center"/>
          </w:tcPr>
          <w:p w:rsidR="0016109C" w:rsidRPr="009B613E" w:rsidRDefault="0016109C" w:rsidP="0016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EB9" w:rsidRPr="009B613E" w:rsidTr="00E50F19">
        <w:trPr>
          <w:trHeight w:val="150"/>
        </w:trPr>
        <w:tc>
          <w:tcPr>
            <w:tcW w:w="495" w:type="dxa"/>
            <w:shd w:val="clear" w:color="auto" w:fill="auto"/>
            <w:vAlign w:val="center"/>
          </w:tcPr>
          <w:p w:rsidR="009E5EB9" w:rsidRPr="009B613E" w:rsidRDefault="009E5EB9" w:rsidP="009E5EB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45" w:type="dxa"/>
            <w:shd w:val="clear" w:color="auto" w:fill="FFFFFF"/>
          </w:tcPr>
          <w:p w:rsidR="009E5EB9" w:rsidRPr="009B613E" w:rsidRDefault="009E5EB9" w:rsidP="009E5EB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uk-UA"/>
              </w:rPr>
            </w:pPr>
            <w:r w:rsidRPr="009B613E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Разом по розділу</w:t>
            </w:r>
          </w:p>
        </w:tc>
        <w:tc>
          <w:tcPr>
            <w:tcW w:w="1203" w:type="dxa"/>
            <w:shd w:val="clear" w:color="auto" w:fill="auto"/>
          </w:tcPr>
          <w:p w:rsidR="009E5EB9" w:rsidRPr="009E5EB9" w:rsidRDefault="009E5EB9" w:rsidP="009E5EB9">
            <w:pPr>
              <w:rPr>
                <w:rFonts w:ascii="Times New Roman" w:hAnsi="Times New Roman" w:cs="Times New Roman"/>
                <w:lang w:val="uk-UA"/>
              </w:rPr>
            </w:pPr>
            <w:r w:rsidRPr="009E5EB9">
              <w:rPr>
                <w:rFonts w:ascii="Times New Roman" w:hAnsi="Times New Roman" w:cs="Times New Roman"/>
                <w:lang w:val="uk-UA"/>
              </w:rPr>
              <w:t>562415,9831</w:t>
            </w:r>
          </w:p>
        </w:tc>
        <w:tc>
          <w:tcPr>
            <w:tcW w:w="1354" w:type="dxa"/>
            <w:shd w:val="clear" w:color="auto" w:fill="auto"/>
          </w:tcPr>
          <w:p w:rsidR="009E5EB9" w:rsidRPr="009E5EB9" w:rsidRDefault="009E5EB9" w:rsidP="009E5EB9">
            <w:pPr>
              <w:rPr>
                <w:rFonts w:ascii="Times New Roman" w:hAnsi="Times New Roman" w:cs="Times New Roman"/>
                <w:bCs/>
              </w:rPr>
            </w:pPr>
            <w:r w:rsidRPr="009E5EB9">
              <w:rPr>
                <w:rFonts w:ascii="Times New Roman" w:hAnsi="Times New Roman" w:cs="Times New Roman"/>
                <w:bCs/>
              </w:rPr>
              <w:t>393502,4011</w:t>
            </w:r>
          </w:p>
          <w:p w:rsidR="009E5EB9" w:rsidRPr="009E5EB9" w:rsidRDefault="009E5EB9" w:rsidP="009E5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9E5EB9" w:rsidRPr="009E5EB9" w:rsidRDefault="009E5EB9" w:rsidP="009E5EB9">
            <w:pPr>
              <w:rPr>
                <w:rFonts w:ascii="Times New Roman" w:hAnsi="Times New Roman" w:cs="Times New Roman"/>
                <w:lang w:val="uk-UA"/>
              </w:rPr>
            </w:pPr>
            <w:r w:rsidRPr="009E5EB9">
              <w:rPr>
                <w:rFonts w:ascii="Times New Roman" w:hAnsi="Times New Roman" w:cs="Times New Roman"/>
                <w:lang w:val="uk-UA"/>
              </w:rPr>
              <w:t>168913,582</w:t>
            </w:r>
          </w:p>
        </w:tc>
        <w:tc>
          <w:tcPr>
            <w:tcW w:w="4240" w:type="dxa"/>
            <w:shd w:val="clear" w:color="auto" w:fill="F2F2F2" w:themeFill="background1" w:themeFillShade="F2"/>
            <w:vAlign w:val="center"/>
          </w:tcPr>
          <w:p w:rsidR="009E5EB9" w:rsidRPr="009B613E" w:rsidRDefault="009E5EB9" w:rsidP="009E5E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31" w:type="dxa"/>
            <w:shd w:val="clear" w:color="auto" w:fill="C6D9F1"/>
            <w:vAlign w:val="center"/>
          </w:tcPr>
          <w:p w:rsidR="009E5EB9" w:rsidRPr="00A03074" w:rsidRDefault="009E5EB9" w:rsidP="009E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562915,9831</w:t>
            </w:r>
          </w:p>
        </w:tc>
        <w:tc>
          <w:tcPr>
            <w:tcW w:w="1355" w:type="dxa"/>
            <w:shd w:val="clear" w:color="auto" w:fill="C6D9F1"/>
            <w:vAlign w:val="center"/>
          </w:tcPr>
          <w:p w:rsidR="009E5EB9" w:rsidRPr="00A03074" w:rsidRDefault="009E5EB9" w:rsidP="009E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394002,4011</w:t>
            </w:r>
          </w:p>
        </w:tc>
        <w:tc>
          <w:tcPr>
            <w:tcW w:w="1215" w:type="dxa"/>
            <w:shd w:val="clear" w:color="auto" w:fill="C6D9F1"/>
            <w:vAlign w:val="center"/>
          </w:tcPr>
          <w:p w:rsidR="009E5EB9" w:rsidRPr="00A03074" w:rsidRDefault="009E5EB9" w:rsidP="009E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168913,582</w:t>
            </w:r>
          </w:p>
        </w:tc>
      </w:tr>
    </w:tbl>
    <w:p w:rsidR="0016109C" w:rsidRDefault="0016109C" w:rsidP="001610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5EB9" w:rsidRPr="009E5EB9" w:rsidRDefault="009E5EB9" w:rsidP="009E5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E5E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Начальник відділу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економіки  міської ради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  <w:r w:rsidRPr="009E5EB9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Алла ВОЛОДІНА</w:t>
      </w:r>
    </w:p>
    <w:p w:rsidR="009E5EB9" w:rsidRPr="0016109C" w:rsidRDefault="009E5EB9" w:rsidP="009E5E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5EB9" w:rsidRPr="0016109C" w:rsidSect="0016109C">
      <w:pgSz w:w="16838" w:h="11906" w:orient="landscape"/>
      <w:pgMar w:top="1418" w:right="295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08" w:rsidRDefault="00FF2008">
      <w:pPr>
        <w:spacing w:after="0" w:line="240" w:lineRule="auto"/>
      </w:pPr>
      <w:r>
        <w:separator/>
      </w:r>
    </w:p>
  </w:endnote>
  <w:endnote w:type="continuationSeparator" w:id="0">
    <w:p w:rsidR="00FF2008" w:rsidRDefault="00FF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08" w:rsidRDefault="00FF2008">
      <w:pPr>
        <w:spacing w:after="0" w:line="240" w:lineRule="auto"/>
      </w:pPr>
      <w:r>
        <w:separator/>
      </w:r>
    </w:p>
  </w:footnote>
  <w:footnote w:type="continuationSeparator" w:id="0">
    <w:p w:rsidR="00FF2008" w:rsidRDefault="00FF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09C" w:rsidRDefault="0016109C" w:rsidP="001610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09C" w:rsidRDefault="0016109C" w:rsidP="0016109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09C" w:rsidRPr="00E84F0A" w:rsidRDefault="0016109C" w:rsidP="0016109C">
    <w:pPr>
      <w:pStyle w:val="a3"/>
      <w:ind w:right="360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B451D"/>
    <w:multiLevelType w:val="multilevel"/>
    <w:tmpl w:val="6B46C19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9C"/>
    <w:rsid w:val="0016109C"/>
    <w:rsid w:val="0054085C"/>
    <w:rsid w:val="009E5EB9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3A3B"/>
  <w15:chartTrackingRefBased/>
  <w15:docId w15:val="{4F53187D-5B7E-47C0-9BBE-347F9CE0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109C"/>
  </w:style>
  <w:style w:type="character" w:styleId="a5">
    <w:name w:val="page number"/>
    <w:basedOn w:val="a0"/>
    <w:rsid w:val="0016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2026-01-27T11:36:00Z</dcterms:created>
  <dcterms:modified xsi:type="dcterms:W3CDTF">2026-01-27T12:01:00Z</dcterms:modified>
</cp:coreProperties>
</file>